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E0" w:rsidRPr="00F6156A" w:rsidRDefault="00C1668B" w:rsidP="00F61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Отчет о проделанной работе педагога-психолога МБОУ СОШ №21 им .Героя России Семено</w:t>
      </w:r>
      <w:r w:rsidR="004E084C">
        <w:rPr>
          <w:rFonts w:ascii="Times New Roman" w:hAnsi="Times New Roman" w:cs="Times New Roman"/>
          <w:sz w:val="28"/>
          <w:szCs w:val="28"/>
        </w:rPr>
        <w:t xml:space="preserve">ва Д.В. </w:t>
      </w:r>
      <w:bookmarkStart w:id="0" w:name="_GoBack"/>
      <w:bookmarkEnd w:id="0"/>
      <w:r w:rsidR="007C2F73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F615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Руководствуясь  Положением о школьной психологической службе в системе образования,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8853F8">
        <w:rPr>
          <w:rFonts w:ascii="Times New Roman" w:hAnsi="Times New Roman" w:cs="Times New Roman"/>
          <w:sz w:val="28"/>
          <w:szCs w:val="28"/>
        </w:rPr>
        <w:t>на протяжении 7 месяцев</w:t>
      </w:r>
      <w:r w:rsidRPr="00F6156A">
        <w:rPr>
          <w:rFonts w:ascii="Times New Roman" w:hAnsi="Times New Roman" w:cs="Times New Roman"/>
          <w:sz w:val="28"/>
          <w:szCs w:val="28"/>
        </w:rPr>
        <w:t xml:space="preserve"> в  МБОУ СОШ №21 им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>Героя России Семенова Д.В. проводилась психоло</w:t>
      </w:r>
      <w:r w:rsidR="00F6156A">
        <w:rPr>
          <w:rFonts w:ascii="Times New Roman" w:hAnsi="Times New Roman" w:cs="Times New Roman"/>
          <w:sz w:val="28"/>
          <w:szCs w:val="28"/>
        </w:rPr>
        <w:t>гическая работа по следующим</w:t>
      </w:r>
      <w:r w:rsidR="00E95D79">
        <w:rPr>
          <w:rFonts w:ascii="Times New Roman" w:hAnsi="Times New Roman" w:cs="Times New Roman"/>
          <w:sz w:val="28"/>
          <w:szCs w:val="28"/>
        </w:rPr>
        <w:t xml:space="preserve">  </w:t>
      </w:r>
      <w:r w:rsidR="00F6156A">
        <w:rPr>
          <w:rFonts w:ascii="Times New Roman" w:hAnsi="Times New Roman" w:cs="Times New Roman"/>
          <w:sz w:val="28"/>
          <w:szCs w:val="28"/>
        </w:rPr>
        <w:t>направлениям: диагностическому,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профилактическому,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консультационному и коррекционно-развивающему.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Основная цель Службы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-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обеспечение условий для полноценного психического и личностного развития всех субъектов образовательной среды в соответствии  с их индивидуальными возможностями и особенностями.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Основные задачи Службы: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участников познавательного процесса</w:t>
      </w:r>
      <w:r w:rsidR="000E7101" w:rsidRPr="00F6156A">
        <w:rPr>
          <w:rFonts w:ascii="Times New Roman" w:hAnsi="Times New Roman" w:cs="Times New Roman"/>
          <w:sz w:val="28"/>
          <w:szCs w:val="28"/>
        </w:rPr>
        <w:t>;</w:t>
      </w:r>
    </w:p>
    <w:p w:rsidR="000E7101" w:rsidRPr="00F6156A" w:rsidRDefault="000E7101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содействие в приобретении обучающимися воспитанниками познавательных учреждений психологических знаний,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умений</w:t>
      </w:r>
      <w:r w:rsidR="009F460D">
        <w:rPr>
          <w:rFonts w:ascii="Times New Roman" w:hAnsi="Times New Roman" w:cs="Times New Roman"/>
          <w:sz w:val="28"/>
          <w:szCs w:val="28"/>
        </w:rPr>
        <w:t xml:space="preserve"> и навыков необходимых </w:t>
      </w:r>
      <w:proofErr w:type="gramStart"/>
      <w:r w:rsidR="009F46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F460D">
        <w:rPr>
          <w:rFonts w:ascii="Times New Roman" w:hAnsi="Times New Roman" w:cs="Times New Roman"/>
          <w:sz w:val="28"/>
          <w:szCs w:val="28"/>
        </w:rPr>
        <w:t xml:space="preserve"> социа</w:t>
      </w:r>
      <w:r w:rsidRPr="00F6156A">
        <w:rPr>
          <w:rFonts w:ascii="Times New Roman" w:hAnsi="Times New Roman" w:cs="Times New Roman"/>
          <w:sz w:val="28"/>
          <w:szCs w:val="28"/>
        </w:rPr>
        <w:t>лизации</w:t>
      </w:r>
      <w:r w:rsidR="00F6156A">
        <w:rPr>
          <w:rFonts w:ascii="Times New Roman" w:hAnsi="Times New Roman" w:cs="Times New Roman"/>
          <w:sz w:val="28"/>
          <w:szCs w:val="28"/>
        </w:rPr>
        <w:t xml:space="preserve">: осуществление необходимой </w:t>
      </w:r>
      <w:r w:rsidRPr="00F6156A">
        <w:rPr>
          <w:rFonts w:ascii="Times New Roman" w:hAnsi="Times New Roman" w:cs="Times New Roman"/>
          <w:sz w:val="28"/>
          <w:szCs w:val="28"/>
        </w:rPr>
        <w:t>консультативной</w:t>
      </w:r>
      <w:r w:rsidR="00E95D79">
        <w:rPr>
          <w:rFonts w:ascii="Times New Roman" w:hAnsi="Times New Roman" w:cs="Times New Roman"/>
          <w:sz w:val="28"/>
          <w:szCs w:val="28"/>
        </w:rPr>
        <w:t>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диагностической,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просветительской и психопрофилактической помощи руководителям,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педагогическим  работникам и родителям;</w:t>
      </w:r>
    </w:p>
    <w:p w:rsidR="000E7101" w:rsidRPr="00F6156A" w:rsidRDefault="000E7101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детей на каждом возрастном этапе и их учет при построении образовательной стратегии убеждений;</w:t>
      </w:r>
    </w:p>
    <w:p w:rsidR="000E7101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проведение  адаптационных мероприятий со вновь поступившими в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учреждение воспитанниками и обучающимися,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 в коллективе;</w:t>
      </w:r>
    </w:p>
    <w:p w:rsidR="00DF56DC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групповых  коррекционных программ для детей разных возрастов с учетом каждого возрастного этапа  и существующих проблем;</w:t>
      </w:r>
    </w:p>
    <w:p w:rsidR="00DF56DC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определение готовности детей  к обучению в школе; переход  из начального  звена</w:t>
      </w:r>
      <w:r w:rsidR="00E350BA" w:rsidRPr="00F6156A">
        <w:rPr>
          <w:rFonts w:ascii="Times New Roman" w:hAnsi="Times New Roman" w:cs="Times New Roman"/>
          <w:sz w:val="28"/>
          <w:szCs w:val="28"/>
        </w:rPr>
        <w:t xml:space="preserve"> в среднее; </w:t>
      </w:r>
      <w:proofErr w:type="spellStart"/>
      <w:r w:rsidR="00E350BA" w:rsidRPr="00F6156A">
        <w:rPr>
          <w:rFonts w:ascii="Times New Roman" w:hAnsi="Times New Roman" w:cs="Times New Roman"/>
          <w:sz w:val="28"/>
          <w:szCs w:val="28"/>
        </w:rPr>
        <w:t>проф</w:t>
      </w:r>
      <w:r w:rsidR="009F460D">
        <w:rPr>
          <w:rFonts w:ascii="Times New Roman" w:hAnsi="Times New Roman" w:cs="Times New Roman"/>
          <w:sz w:val="28"/>
          <w:szCs w:val="28"/>
        </w:rPr>
        <w:t>о</w:t>
      </w:r>
      <w:r w:rsidR="00E350BA" w:rsidRPr="00F6156A">
        <w:rPr>
          <w:rFonts w:ascii="Times New Roman" w:hAnsi="Times New Roman" w:cs="Times New Roman"/>
          <w:sz w:val="28"/>
          <w:szCs w:val="28"/>
        </w:rPr>
        <w:t>риентационная</w:t>
      </w:r>
      <w:proofErr w:type="spellEnd"/>
      <w:r w:rsidR="00E350BA" w:rsidRPr="00F6156A">
        <w:rPr>
          <w:rFonts w:ascii="Times New Roman" w:hAnsi="Times New Roman" w:cs="Times New Roman"/>
          <w:sz w:val="28"/>
          <w:szCs w:val="28"/>
        </w:rPr>
        <w:t xml:space="preserve"> работа в старших классах;</w:t>
      </w:r>
    </w:p>
    <w:p w:rsidR="00E350BA" w:rsidRPr="00F6156A" w:rsidRDefault="00E350BA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осуществление психологического консультирования детей и взрослых;</w:t>
      </w:r>
    </w:p>
    <w:p w:rsidR="00E350BA" w:rsidRPr="00F6156A" w:rsidRDefault="005A2AA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участие в работе педсоветов,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консилиумов с правом совещательного голоса;</w:t>
      </w:r>
    </w:p>
    <w:p w:rsidR="005A2AAB" w:rsidRPr="00F6156A" w:rsidRDefault="005A2AA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составление рекомендаций и заключений по обучению воспитанию детей и подростков;</w:t>
      </w:r>
    </w:p>
    <w:p w:rsidR="00F34CDC" w:rsidRDefault="002F5052" w:rsidP="00701EB5">
      <w:pPr>
        <w:jc w:val="both"/>
        <w:rPr>
          <w:rFonts w:ascii="Times New Roman" w:hAnsi="Times New Roman" w:cs="Times New Roman"/>
          <w:sz w:val="36"/>
          <w:szCs w:val="36"/>
        </w:rPr>
      </w:pPr>
      <w:r w:rsidRPr="00F6156A">
        <w:rPr>
          <w:rFonts w:ascii="Times New Roman" w:hAnsi="Times New Roman" w:cs="Times New Roman"/>
          <w:sz w:val="28"/>
          <w:szCs w:val="28"/>
        </w:rPr>
        <w:lastRenderedPageBreak/>
        <w:t>В нач</w:t>
      </w:r>
      <w:r w:rsidR="004B6257">
        <w:rPr>
          <w:rFonts w:ascii="Times New Roman" w:hAnsi="Times New Roman" w:cs="Times New Roman"/>
          <w:sz w:val="28"/>
          <w:szCs w:val="28"/>
        </w:rPr>
        <w:t xml:space="preserve">але года проводилась </w:t>
      </w:r>
      <w:r w:rsidRPr="00F6156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учеников 1-х,5-х классов</w:t>
      </w:r>
      <w:proofErr w:type="gramStart"/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proofErr w:type="spellStart"/>
      <w:r w:rsidRPr="00F6156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6156A">
        <w:rPr>
          <w:rFonts w:ascii="Times New Roman" w:hAnsi="Times New Roman" w:cs="Times New Roman"/>
          <w:sz w:val="28"/>
          <w:szCs w:val="28"/>
        </w:rPr>
        <w:t xml:space="preserve"> у детей при переходе к новым условиям  обучения ,для оказания своев</w:t>
      </w:r>
      <w:r w:rsidR="007C2F73">
        <w:rPr>
          <w:rFonts w:ascii="Times New Roman" w:hAnsi="Times New Roman" w:cs="Times New Roman"/>
          <w:sz w:val="28"/>
          <w:szCs w:val="28"/>
        </w:rPr>
        <w:t>ременной психологической помощи (справки).</w:t>
      </w:r>
      <w:r w:rsidR="00701EB5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701EB5" w:rsidRDefault="00F34CDC" w:rsidP="00701E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701EB5">
        <w:rPr>
          <w:rFonts w:ascii="Times New Roman" w:hAnsi="Times New Roman" w:cs="Times New Roman"/>
          <w:sz w:val="36"/>
          <w:szCs w:val="36"/>
        </w:rPr>
        <w:t xml:space="preserve">   Справка 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адаптации учащихся 1-ых классов МБОУ СОШ № 21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им. Героя России Семенова Д.В. г. Владикавказа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06.10.2020г и 14.10.2020г.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диагностика уровня адаптации учащихся </w:t>
      </w:r>
      <w:r w:rsidRPr="009921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-ых классов.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участвовало два 1-ых класса: 1</w:t>
      </w:r>
      <w:r w:rsidRPr="001324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” 28 учеников,1</w:t>
      </w:r>
      <w:r w:rsidRPr="001324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24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33 ученика. Число испытуемых 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992122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учеников.</w:t>
      </w:r>
    </w:p>
    <w:p w:rsidR="00701EB5" w:rsidRDefault="00701EB5" w:rsidP="0070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адаптации в 1-ом классе – одним из труднейших периодов школьного обучения. Он связан с  нагрузками на психику ученика, поскольку в 1-ом классе происходит резкое изменение условий жизни, обучения. Дети переходят из игровой деятельности в  основную для них форму обучения, к системе «классный руководитель». Разнообразие требований, предъявляемых  школьнику учителем, необходимость приспосабливаться к индивидуальному стилю преподавания педагога, новые дети, среда в котором они прибывают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это является серьезным испытанием для психики школьника.</w:t>
      </w:r>
    </w:p>
    <w:p w:rsidR="00701EB5" w:rsidRDefault="00701EB5" w:rsidP="0070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 применялись следующие методы работы и сбора психологической информации: наблюдение, анализ продуктов деятельности, беседа, анкетирование.</w:t>
      </w:r>
    </w:p>
    <w:p w:rsidR="00701EB5" w:rsidRDefault="00701EB5" w:rsidP="0070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уровня школьной адаптации были применены следующие методики: «Мотивация учения и адаптация первоклассников», «Изучение общей самооценки (опросник  Казанцевой Г.Н.) и « Анкета для оценки привлекательности классного коллектива».</w:t>
      </w:r>
    </w:p>
    <w:p w:rsidR="00701EB5" w:rsidRDefault="00701EB5" w:rsidP="0070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школьной мотивации учащихся был проведен тест «Мотивация учения и адаптация первоклассников». Учащимся предлагалось ответить на 10 вопросов анкеты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которая определяет пять уровней школьной адаптации: высокий уровень(25-30 баллов),средний уровень (20-24 баллов),внешняя мотивация (15-19 баллов), низкая школьная мотивация (10-14 баллов),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(ниже 9 баллов).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418"/>
      </w:tblGrid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уровень</w:t>
            </w:r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23уч-ков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мотивация</w:t>
            </w:r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4уч-ка</w:t>
            </w:r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</w:p>
        </w:tc>
        <w:tc>
          <w:tcPr>
            <w:tcW w:w="1596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1418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</w:tbl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 мотивации, как видим на таблице, имеют 4 ученика. У этих детей положительное отношение  к школе, есть познавательный  мотив, стремление  наиболее успешно выполнять все предъявляемые  школой требования. Как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эти ребята легко усваивают учебный материал, полно овладевают программой, прилежны. внимательно слушают указания учителя, выполняют поручения без внешнего контроля ,проявляют  интерес к самостоятельной работе, поручения выполняют охотно ,занимают благоприятное статусное положение в классе.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 хорошая школьная мотивация, наблюдается у40 учащихся 1-х классов. При средних показателях школьной мотивации ребенок положительно относится к школе, понимает учебный материал, усваивает  основное в программе, самостоятельно решает типовые задачи, внимателен при выполнении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поручений, указаний, но требует контроля , сосредоточен по интересу, готовится к урокам, поручения выполняет, дружит со многими  детьми в классе.</w:t>
      </w:r>
      <w:r w:rsidRPr="00F1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показавшие развитие внешней школьной мотивации (13 учеников), имеют положительное отношение к школе ,но школа  привлекает таких детей вне учебной деятельностью. Такие дети достаточно благополучно чувствуют себя в школе, однако чаще ходят в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общаться с друзьями, с учителем. Познавательные мотивы у таких  детей сформированы в меньшей степени, и учебный процесс их мало привлекает.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школьная мотивация была выявлена у 15 ребят. Эти дети относятся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 –х учеников  выявлено негативное отношение к школе. Такие дети испытывают серьезные трудности в школе, они не справляются с учебной деятельностью,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общении с одноклассниками,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взаимоотшениях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учителями. Школа нередко воспринимается ими как враждебная среда, пребывание в которой для них невыносимо. Такие ученики могут проявлять агрессивные реакции, отказываться выполнять те или иные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следовать тем или иным нормам и правилам.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выявления уровня привлекательности классного коллектива была проведена соответствующая цели методика. Получены следующие результаты.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1985"/>
      </w:tblGrid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1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 А»</w:t>
            </w:r>
          </w:p>
        </w:tc>
        <w:tc>
          <w:tcPr>
            <w:tcW w:w="1985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« Б»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 является для ребенка очень привлекательным.</w:t>
            </w:r>
          </w:p>
        </w:tc>
        <w:tc>
          <w:tcPr>
            <w:tcW w:w="2021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1985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хорошо адаптирован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коллективе.</w:t>
            </w:r>
          </w:p>
        </w:tc>
        <w:tc>
          <w:tcPr>
            <w:tcW w:w="2021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1985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Нейтральное отношение ребенка к коллективу.</w:t>
            </w:r>
          </w:p>
        </w:tc>
        <w:tc>
          <w:tcPr>
            <w:tcW w:w="2021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985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2уч-ка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Негативное отношение к классу.</w:t>
            </w:r>
          </w:p>
        </w:tc>
        <w:tc>
          <w:tcPr>
            <w:tcW w:w="2021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</w:tbl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B5" w:rsidRPr="00C16E0A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сделать следующие выводы об уровне адаптации учащихся пятых классов: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«А»,1 «Б»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адаптации</w:t>
            </w:r>
          </w:p>
        </w:tc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ученика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уровень адаптации</w:t>
            </w:r>
          </w:p>
        </w:tc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учеников</w:t>
            </w:r>
          </w:p>
        </w:tc>
      </w:tr>
      <w:tr w:rsidR="00701EB5" w:rsidTr="00C85C9F"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адаптации</w:t>
            </w:r>
          </w:p>
        </w:tc>
        <w:tc>
          <w:tcPr>
            <w:tcW w:w="3190" w:type="dxa"/>
          </w:tcPr>
          <w:p w:rsidR="00701EB5" w:rsidRDefault="00701EB5" w:rsidP="00C8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</w:tbl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дети из последних двух групп находятся в состоянии неустойчивой 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школе. Им требуется контроль помощь взрослых, они составляют «группу риска». Эти дети испытывают трудности в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не справляются с учебной деятельностью, часто испытывают проблемы в общении с одноклассниками , во взаимоотношениях с учителем. Школа нередко воспринимается ими как враждебная среда, пребывания в которой для них невыносимо.  Часто у подобных школьников отмечаются нервно-психические нарушения.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собственно познавательные мотивы в основном формируются в младшем школьном возрасте, рассчитывать на то, что они будут сформированы позже, довольно сложно. Поэтому с ребятами с низким уровнем познавательной активности и учебной мотивации рекомендуется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учителям и родителям нужно учитывать и воздействовать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составляющие, от которых в большой степени зависит учебная мотивация: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информации, которой лежит в основе познавательной активности;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себе;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на достижения успеха и вера в возможность положительного результата;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организующим процесс обучения или участвующим в нем;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и возможность в самовыражении;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одобрение значимыми людьми;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творческой позиции;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происходящего для себя и других;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социальном признании;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положительного опыта и отсутствие состояния тревожности и страха;</w:t>
      </w:r>
    </w:p>
    <w:p w:rsidR="00701EB5" w:rsidRDefault="00701EB5" w:rsidP="00701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образования в рейтинге жизненных ценносте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особенно в семье);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школе может быть связано с нарушениями в межличностных отношениях с одноклассниками, а это значит, что необходимо развивать у детей навыки общения и разрешения конфликтных ситуаций.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отношение к школе и обучению часто формируется по причине неадекватных педагогических или родительских ожиданий и связанных с ними негативных  оценок личности ребенка, следовательно, взрослым рекомендуется проанализировать  свои педагогические установки.</w:t>
      </w:r>
    </w:p>
    <w:p w:rsidR="00701EB5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 провести работу по повышению самооценки и снижению уровня школьной тревожности с теми детьми, у которых выявлены неблагоприятные показатели по соответствующим шкалам.</w:t>
      </w:r>
    </w:p>
    <w:p w:rsidR="00701EB5" w:rsidRPr="00F72B78" w:rsidRDefault="00701EB5" w:rsidP="00701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82B" w:rsidRDefault="0056342E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 xml:space="preserve"> На первом этапе в ноябре и декабре проводилас</w:t>
      </w:r>
      <w:r w:rsidR="00F6156A">
        <w:rPr>
          <w:rFonts w:ascii="Times New Roman" w:hAnsi="Times New Roman" w:cs="Times New Roman"/>
          <w:sz w:val="28"/>
          <w:szCs w:val="28"/>
        </w:rPr>
        <w:t>ь работа с учащимися  1-х класс</w:t>
      </w:r>
      <w:r w:rsidRPr="00F6156A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56A">
        <w:rPr>
          <w:rFonts w:ascii="Times New Roman" w:hAnsi="Times New Roman" w:cs="Times New Roman"/>
          <w:sz w:val="28"/>
          <w:szCs w:val="28"/>
        </w:rPr>
        <w:t xml:space="preserve"> сти</w:t>
      </w:r>
      <w:r w:rsidRPr="00F6156A">
        <w:rPr>
          <w:rFonts w:ascii="Times New Roman" w:hAnsi="Times New Roman" w:cs="Times New Roman"/>
          <w:sz w:val="28"/>
          <w:szCs w:val="28"/>
        </w:rPr>
        <w:t xml:space="preserve">мулирующая процесс адаптации учеников к школьному </w:t>
      </w:r>
      <w:r w:rsidRPr="00F6156A">
        <w:rPr>
          <w:rFonts w:ascii="Times New Roman" w:hAnsi="Times New Roman" w:cs="Times New Roman"/>
          <w:sz w:val="28"/>
          <w:szCs w:val="28"/>
        </w:rPr>
        <w:lastRenderedPageBreak/>
        <w:t>обучению. На втором этапе исследования проводилась работа по выявлению уровня адаптации первоклассников к школьному обучению. Для оценки успешности адаптации первоклассников были выполнены следующие виды работ: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наблюдение  за характером и особенностями адаптационного  процесса;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проведение группового обследования первоклассников с помощью методики личностных отношений</w:t>
      </w:r>
      <w:proofErr w:type="gramStart"/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>социальных  эмоций.</w:t>
      </w:r>
      <w:r w:rsidR="0007082B">
        <w:rPr>
          <w:rFonts w:ascii="Times New Roman" w:hAnsi="Times New Roman" w:cs="Times New Roman"/>
          <w:sz w:val="28"/>
          <w:szCs w:val="28"/>
        </w:rPr>
        <w:t xml:space="preserve"> В</w:t>
      </w:r>
      <w:r w:rsidRPr="00F6156A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 w:rsidR="00F6156A">
        <w:rPr>
          <w:rFonts w:ascii="Times New Roman" w:hAnsi="Times New Roman" w:cs="Times New Roman"/>
          <w:sz w:val="28"/>
          <w:szCs w:val="28"/>
        </w:rPr>
        <w:t>уча</w:t>
      </w:r>
      <w:r w:rsidR="0099085C">
        <w:rPr>
          <w:rFonts w:ascii="Times New Roman" w:hAnsi="Times New Roman" w:cs="Times New Roman"/>
          <w:sz w:val="28"/>
          <w:szCs w:val="28"/>
        </w:rPr>
        <w:t xml:space="preserve">ствовало </w:t>
      </w:r>
      <w:r w:rsidR="004B6257">
        <w:rPr>
          <w:rFonts w:ascii="Times New Roman" w:hAnsi="Times New Roman" w:cs="Times New Roman"/>
          <w:sz w:val="28"/>
          <w:szCs w:val="28"/>
        </w:rPr>
        <w:t>61</w:t>
      </w:r>
      <w:r w:rsidRPr="00F6156A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, первых </w:t>
      </w:r>
      <w:proofErr w:type="gramStart"/>
      <w:r w:rsidR="006735B0" w:rsidRPr="00F6156A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6735B0" w:rsidRPr="00F6156A">
        <w:rPr>
          <w:rFonts w:ascii="Times New Roman" w:hAnsi="Times New Roman" w:cs="Times New Roman"/>
          <w:sz w:val="28"/>
          <w:szCs w:val="28"/>
        </w:rPr>
        <w:t xml:space="preserve"> где достаточный урове</w:t>
      </w:r>
      <w:r w:rsidR="0099085C">
        <w:rPr>
          <w:rFonts w:ascii="Times New Roman" w:hAnsi="Times New Roman" w:cs="Times New Roman"/>
          <w:sz w:val="28"/>
          <w:szCs w:val="28"/>
        </w:rPr>
        <w:t xml:space="preserve">нь общей школьной адаптации у </w:t>
      </w:r>
      <w:r w:rsidR="004B6257">
        <w:rPr>
          <w:rFonts w:ascii="Times New Roman" w:hAnsi="Times New Roman" w:cs="Times New Roman"/>
          <w:sz w:val="28"/>
          <w:szCs w:val="28"/>
        </w:rPr>
        <w:t>59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 учеников,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6735B0" w:rsidRPr="00F6156A">
        <w:rPr>
          <w:rFonts w:ascii="Times New Roman" w:hAnsi="Times New Roman" w:cs="Times New Roman"/>
          <w:sz w:val="28"/>
          <w:szCs w:val="28"/>
        </w:rPr>
        <w:t>частичный урове</w:t>
      </w:r>
      <w:r w:rsidR="0099085C">
        <w:rPr>
          <w:rFonts w:ascii="Times New Roman" w:hAnsi="Times New Roman" w:cs="Times New Roman"/>
          <w:sz w:val="28"/>
          <w:szCs w:val="28"/>
        </w:rPr>
        <w:t xml:space="preserve">нь школьной адаптации показало </w:t>
      </w:r>
      <w:r w:rsidR="004B6257">
        <w:rPr>
          <w:rFonts w:ascii="Times New Roman" w:hAnsi="Times New Roman" w:cs="Times New Roman"/>
          <w:sz w:val="28"/>
          <w:szCs w:val="28"/>
        </w:rPr>
        <w:t>15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4B6257">
        <w:rPr>
          <w:rFonts w:ascii="Times New Roman" w:hAnsi="Times New Roman" w:cs="Times New Roman"/>
          <w:sz w:val="28"/>
          <w:szCs w:val="28"/>
        </w:rPr>
        <w:t>ов</w:t>
      </w:r>
      <w:r w:rsidR="006735B0" w:rsidRPr="00F6156A">
        <w:rPr>
          <w:rFonts w:ascii="Times New Roman" w:hAnsi="Times New Roman" w:cs="Times New Roman"/>
          <w:sz w:val="28"/>
          <w:szCs w:val="28"/>
        </w:rPr>
        <w:t>, недостаточ</w:t>
      </w:r>
      <w:r w:rsidR="0099085C">
        <w:rPr>
          <w:rFonts w:ascii="Times New Roman" w:hAnsi="Times New Roman" w:cs="Times New Roman"/>
          <w:sz w:val="28"/>
          <w:szCs w:val="28"/>
        </w:rPr>
        <w:t xml:space="preserve">ный уровень школьной адаптации </w:t>
      </w:r>
      <w:r w:rsidR="004B6257">
        <w:rPr>
          <w:rFonts w:ascii="Times New Roman" w:hAnsi="Times New Roman" w:cs="Times New Roman"/>
          <w:sz w:val="28"/>
          <w:szCs w:val="28"/>
        </w:rPr>
        <w:t>2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9085C">
        <w:rPr>
          <w:rFonts w:ascii="Times New Roman" w:hAnsi="Times New Roman" w:cs="Times New Roman"/>
          <w:sz w:val="28"/>
          <w:szCs w:val="28"/>
        </w:rPr>
        <w:t>а</w:t>
      </w:r>
      <w:r w:rsidR="006735B0" w:rsidRPr="00F6156A">
        <w:rPr>
          <w:rFonts w:ascii="Times New Roman" w:hAnsi="Times New Roman" w:cs="Times New Roman"/>
          <w:sz w:val="28"/>
          <w:szCs w:val="28"/>
        </w:rPr>
        <w:t>.</w:t>
      </w:r>
    </w:p>
    <w:p w:rsidR="006735B0" w:rsidRPr="00F6156A" w:rsidRDefault="0099085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октябре-ноябре</w:t>
      </w:r>
      <w:r w:rsidR="004B6257">
        <w:rPr>
          <w:rFonts w:ascii="Times New Roman" w:hAnsi="Times New Roman" w:cs="Times New Roman"/>
          <w:sz w:val="28"/>
          <w:szCs w:val="28"/>
        </w:rPr>
        <w:t xml:space="preserve"> 2020</w:t>
      </w:r>
      <w:r w:rsidR="006735B0" w:rsidRPr="00F6156A">
        <w:rPr>
          <w:rFonts w:ascii="Times New Roman" w:hAnsi="Times New Roman" w:cs="Times New Roman"/>
          <w:sz w:val="28"/>
          <w:szCs w:val="28"/>
        </w:rPr>
        <w:t>г согласно годовому плану была проведена  работа сре</w:t>
      </w:r>
      <w:r w:rsidR="006D43B9">
        <w:rPr>
          <w:rFonts w:ascii="Times New Roman" w:hAnsi="Times New Roman" w:cs="Times New Roman"/>
          <w:sz w:val="28"/>
          <w:szCs w:val="28"/>
        </w:rPr>
        <w:t>ди 5-х классах с целью психолога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5B0" w:rsidRPr="00F6156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735B0" w:rsidRPr="00F6156A">
        <w:rPr>
          <w:rFonts w:ascii="Times New Roman" w:hAnsi="Times New Roman" w:cs="Times New Roman"/>
          <w:sz w:val="28"/>
          <w:szCs w:val="28"/>
        </w:rPr>
        <w:t>едагогической поддержки в период адаптации  в новой социально- педагогической  ситуации,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6735B0" w:rsidRPr="00F6156A">
        <w:rPr>
          <w:rFonts w:ascii="Times New Roman" w:hAnsi="Times New Roman" w:cs="Times New Roman"/>
          <w:sz w:val="28"/>
          <w:szCs w:val="28"/>
        </w:rPr>
        <w:t>а так же  с целью диагностики адаптации учащихся.</w:t>
      </w:r>
      <w:r w:rsidR="007C2F73">
        <w:rPr>
          <w:rFonts w:ascii="Times New Roman" w:hAnsi="Times New Roman" w:cs="Times New Roman"/>
          <w:sz w:val="28"/>
          <w:szCs w:val="28"/>
        </w:rPr>
        <w:t>(справки).</w:t>
      </w:r>
    </w:p>
    <w:p w:rsidR="006735B0" w:rsidRPr="00F6156A" w:rsidRDefault="006735B0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В основе исследования использовались следующие методики: «Мотивация учения и адаптация пятиклассников», «Изучение общей самооценки». Определялис</w:t>
      </w:r>
      <w:r w:rsidR="00F6156A">
        <w:rPr>
          <w:rFonts w:ascii="Times New Roman" w:hAnsi="Times New Roman" w:cs="Times New Roman"/>
          <w:sz w:val="28"/>
          <w:szCs w:val="28"/>
        </w:rPr>
        <w:t>ь следующие па</w:t>
      </w:r>
      <w:r w:rsidRPr="00F6156A">
        <w:rPr>
          <w:rFonts w:ascii="Times New Roman" w:hAnsi="Times New Roman" w:cs="Times New Roman"/>
          <w:sz w:val="28"/>
          <w:szCs w:val="28"/>
        </w:rPr>
        <w:t>раметры: уровень школьной мотивации и характер школьной тревожности,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уровень самооценки. Психологический мониторинг показал</w:t>
      </w:r>
      <w:r w:rsidR="00C87F1C" w:rsidRPr="00F6156A">
        <w:rPr>
          <w:rFonts w:ascii="Times New Roman" w:hAnsi="Times New Roman" w:cs="Times New Roman"/>
          <w:sz w:val="28"/>
          <w:szCs w:val="28"/>
        </w:rPr>
        <w:t>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4B6257">
        <w:rPr>
          <w:rFonts w:ascii="Times New Roman" w:hAnsi="Times New Roman" w:cs="Times New Roman"/>
          <w:sz w:val="28"/>
          <w:szCs w:val="28"/>
        </w:rPr>
        <w:t>что из  62</w:t>
      </w:r>
      <w:r w:rsidR="00C87F1C" w:rsidRPr="00F6156A">
        <w:rPr>
          <w:rFonts w:ascii="Times New Roman" w:hAnsi="Times New Roman" w:cs="Times New Roman"/>
          <w:sz w:val="28"/>
          <w:szCs w:val="28"/>
        </w:rPr>
        <w:t xml:space="preserve"> учеников,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4B6257">
        <w:rPr>
          <w:rFonts w:ascii="Times New Roman" w:hAnsi="Times New Roman" w:cs="Times New Roman"/>
          <w:sz w:val="28"/>
          <w:szCs w:val="28"/>
        </w:rPr>
        <w:t>у 57 учеников</w:t>
      </w:r>
      <w:r w:rsidR="00C87F1C" w:rsidRPr="00F6156A">
        <w:rPr>
          <w:rFonts w:ascii="Times New Roman" w:hAnsi="Times New Roman" w:cs="Times New Roman"/>
          <w:sz w:val="28"/>
          <w:szCs w:val="28"/>
        </w:rPr>
        <w:t xml:space="preserve"> достаточный уровень  школьной адаптации,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4B6257">
        <w:rPr>
          <w:rFonts w:ascii="Times New Roman" w:hAnsi="Times New Roman" w:cs="Times New Roman"/>
          <w:sz w:val="28"/>
          <w:szCs w:val="28"/>
        </w:rPr>
        <w:t>частичный уровень 4</w:t>
      </w:r>
      <w:r w:rsidR="0099085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87F1C" w:rsidRPr="00F6156A">
        <w:rPr>
          <w:rFonts w:ascii="Times New Roman" w:hAnsi="Times New Roman" w:cs="Times New Roman"/>
          <w:sz w:val="28"/>
          <w:szCs w:val="28"/>
        </w:rPr>
        <w:t>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C87F1C" w:rsidRPr="00F6156A">
        <w:rPr>
          <w:rFonts w:ascii="Times New Roman" w:hAnsi="Times New Roman" w:cs="Times New Roman"/>
          <w:sz w:val="28"/>
          <w:szCs w:val="28"/>
        </w:rPr>
        <w:t>недостаточный уровень школьной адаптации- 1 ребенок.</w:t>
      </w:r>
    </w:p>
    <w:p w:rsidR="00C87F1C" w:rsidRDefault="00C87F1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Для достижения цели  исследования были применены следующие методики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 xml:space="preserve"> «Методика изучения отношения к учебным предметам Г.Н.Казанцевой»</w:t>
      </w:r>
      <w:r w:rsidR="00E747A0" w:rsidRPr="00F6156A">
        <w:rPr>
          <w:rFonts w:ascii="Times New Roman" w:hAnsi="Times New Roman" w:cs="Times New Roman"/>
          <w:sz w:val="28"/>
          <w:szCs w:val="28"/>
        </w:rPr>
        <w:t xml:space="preserve"> и « Методика диагностики типа школьной мотивации» определялись сле</w:t>
      </w:r>
      <w:r w:rsidR="00F6156A">
        <w:rPr>
          <w:rFonts w:ascii="Times New Roman" w:hAnsi="Times New Roman" w:cs="Times New Roman"/>
          <w:sz w:val="28"/>
          <w:szCs w:val="28"/>
        </w:rPr>
        <w:t>дующие параметры: степень предпо</w:t>
      </w:r>
      <w:r w:rsidR="00E747A0" w:rsidRPr="00F6156A">
        <w:rPr>
          <w:rFonts w:ascii="Times New Roman" w:hAnsi="Times New Roman" w:cs="Times New Roman"/>
          <w:sz w:val="28"/>
          <w:szCs w:val="28"/>
        </w:rPr>
        <w:t>чтения  учебных предметов,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E747A0" w:rsidRPr="00F6156A">
        <w:rPr>
          <w:rFonts w:ascii="Times New Roman" w:hAnsi="Times New Roman" w:cs="Times New Roman"/>
          <w:sz w:val="28"/>
          <w:szCs w:val="28"/>
        </w:rPr>
        <w:t>общие мотивы учения.</w:t>
      </w:r>
    </w:p>
    <w:p w:rsidR="0089188C" w:rsidRPr="00F6156A" w:rsidRDefault="0089188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велась </w:t>
      </w:r>
      <w:r w:rsidR="007C2F73">
        <w:rPr>
          <w:rFonts w:ascii="Times New Roman" w:hAnsi="Times New Roman" w:cs="Times New Roman"/>
          <w:sz w:val="28"/>
          <w:szCs w:val="28"/>
        </w:rPr>
        <w:t>диагностическая работа в классах среднего и старшего звена, где исследовалось школьная тревожность и уровень школьной мотивации.</w:t>
      </w:r>
    </w:p>
    <w:p w:rsidR="00E747A0" w:rsidRDefault="00E747A0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По итогам работы полугодия был намечен ориентировочный план  по психологическому сопровождению данных детей.  Помимо вышеперечис</w:t>
      </w:r>
      <w:r w:rsidR="0099085C">
        <w:rPr>
          <w:rFonts w:ascii="Times New Roman" w:hAnsi="Times New Roman" w:cs="Times New Roman"/>
          <w:sz w:val="28"/>
          <w:szCs w:val="28"/>
        </w:rPr>
        <w:t>ленных видов р</w:t>
      </w:r>
      <w:r w:rsidR="009847F1">
        <w:rPr>
          <w:rFonts w:ascii="Times New Roman" w:hAnsi="Times New Roman" w:cs="Times New Roman"/>
          <w:sz w:val="28"/>
          <w:szCs w:val="28"/>
        </w:rPr>
        <w:t>абот в течени</w:t>
      </w:r>
      <w:proofErr w:type="gramStart"/>
      <w:r w:rsidR="009847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47F1">
        <w:rPr>
          <w:rFonts w:ascii="Times New Roman" w:hAnsi="Times New Roman" w:cs="Times New Roman"/>
          <w:sz w:val="28"/>
          <w:szCs w:val="28"/>
        </w:rPr>
        <w:t xml:space="preserve"> 7 месяцев</w:t>
      </w:r>
      <w:r w:rsidR="0099085C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 xml:space="preserve"> та</w:t>
      </w:r>
      <w:r w:rsidR="00E95D79">
        <w:rPr>
          <w:rFonts w:ascii="Times New Roman" w:hAnsi="Times New Roman" w:cs="Times New Roman"/>
          <w:sz w:val="28"/>
          <w:szCs w:val="28"/>
        </w:rPr>
        <w:t>кже осущ</w:t>
      </w:r>
      <w:r w:rsidR="00F6156A">
        <w:rPr>
          <w:rFonts w:ascii="Times New Roman" w:hAnsi="Times New Roman" w:cs="Times New Roman"/>
          <w:sz w:val="28"/>
          <w:szCs w:val="28"/>
        </w:rPr>
        <w:t>е</w:t>
      </w:r>
      <w:r w:rsidRPr="00F6156A">
        <w:rPr>
          <w:rFonts w:ascii="Times New Roman" w:hAnsi="Times New Roman" w:cs="Times New Roman"/>
          <w:sz w:val="28"/>
          <w:szCs w:val="28"/>
        </w:rPr>
        <w:t>ствлялась  консультационная работа,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 xml:space="preserve">индивидуальная  диагностическая и коррекционная работа. Консультативная </w:t>
      </w:r>
      <w:r w:rsidR="00F6156A" w:rsidRPr="00F6156A">
        <w:rPr>
          <w:rFonts w:ascii="Times New Roman" w:hAnsi="Times New Roman" w:cs="Times New Roman"/>
          <w:sz w:val="28"/>
          <w:szCs w:val="28"/>
        </w:rPr>
        <w:t>работа велась по за</w:t>
      </w:r>
      <w:r w:rsidRPr="00F6156A">
        <w:rPr>
          <w:rFonts w:ascii="Times New Roman" w:hAnsi="Times New Roman" w:cs="Times New Roman"/>
          <w:sz w:val="28"/>
          <w:szCs w:val="28"/>
        </w:rPr>
        <w:t>просам</w:t>
      </w:r>
      <w:r w:rsidR="00F6156A" w:rsidRPr="00F6156A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учеников,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родителей. Проблемы затронутые  на консультациях</w:t>
      </w:r>
      <w:proofErr w:type="gramStart"/>
      <w:r w:rsidR="00F6156A" w:rsidRPr="00F61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56A" w:rsidRPr="00F6156A">
        <w:rPr>
          <w:rFonts w:ascii="Times New Roman" w:hAnsi="Times New Roman" w:cs="Times New Roman"/>
          <w:sz w:val="28"/>
          <w:szCs w:val="28"/>
        </w:rPr>
        <w:t>имели следующие направления: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поведенческие,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эмоциональные,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проблемы воспитания,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проблемы отношений с родителями,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педагогами,</w:t>
      </w:r>
      <w:r w:rsidR="00F6156A">
        <w:rPr>
          <w:rFonts w:ascii="Times New Roman" w:hAnsi="Times New Roman" w:cs="Times New Roman"/>
          <w:sz w:val="28"/>
          <w:szCs w:val="28"/>
        </w:rPr>
        <w:t xml:space="preserve"> сверст</w:t>
      </w:r>
      <w:r w:rsidR="00F6156A" w:rsidRPr="00F6156A">
        <w:rPr>
          <w:rFonts w:ascii="Times New Roman" w:hAnsi="Times New Roman" w:cs="Times New Roman"/>
          <w:sz w:val="28"/>
          <w:szCs w:val="28"/>
        </w:rPr>
        <w:t>никами.</w:t>
      </w:r>
    </w:p>
    <w:p w:rsidR="001826AC" w:rsidRDefault="00A068CB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октябре</w:t>
      </w:r>
      <w:r w:rsidR="0099085C">
        <w:rPr>
          <w:rFonts w:ascii="Times New Roman" w:hAnsi="Times New Roman" w:cs="Times New Roman"/>
          <w:sz w:val="28"/>
          <w:szCs w:val="28"/>
        </w:rPr>
        <w:t xml:space="preserve"> по приказу министерства образования</w:t>
      </w:r>
      <w:r w:rsidRPr="00A0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 для уровня образовательных организаций</w:t>
      </w:r>
      <w:r w:rsidRPr="0099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085C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№21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СЕМЕНОВА Д.В</w:t>
      </w:r>
      <w:r w:rsidRPr="006F7628">
        <w:rPr>
          <w:sz w:val="28"/>
          <w:szCs w:val="28"/>
        </w:rPr>
        <w:t xml:space="preserve">  </w:t>
      </w:r>
      <w:r w:rsidR="0099085C">
        <w:rPr>
          <w:rFonts w:ascii="Times New Roman" w:hAnsi="Times New Roman" w:cs="Times New Roman"/>
          <w:sz w:val="28"/>
          <w:szCs w:val="28"/>
        </w:rPr>
        <w:t>была проведена  работ</w:t>
      </w:r>
      <w:r w:rsidR="0099085C" w:rsidRPr="009908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 программным комплексом Социально-психологическое тестирование для уровня образовательных организаций</w:t>
      </w:r>
      <w:r w:rsidR="001826AC">
        <w:rPr>
          <w:rFonts w:ascii="Times New Roman" w:hAnsi="Times New Roman" w:cs="Times New Roman"/>
          <w:sz w:val="28"/>
          <w:szCs w:val="28"/>
        </w:rPr>
        <w:t>. Единая методика  СПТ предназначена</w:t>
      </w:r>
    </w:p>
    <w:p w:rsidR="001826AC" w:rsidRDefault="001826AC" w:rsidP="0018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латентной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(зависимому) поведению у лиц подросткового и юношеского возраста.</w:t>
      </w:r>
    </w:p>
    <w:p w:rsidR="0099085C" w:rsidRPr="00F6156A" w:rsidRDefault="001826AC" w:rsidP="009F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вероятности вовлечения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</w:t>
      </w:r>
      <w:r w:rsidR="009F460D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="009F460D">
        <w:rPr>
          <w:rFonts w:ascii="Times New Roman" w:hAnsi="Times New Roman" w:cs="Times New Roman"/>
          <w:sz w:val="28"/>
          <w:szCs w:val="28"/>
        </w:rPr>
        <w:t xml:space="preserve"> поведение на основе 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факторов риска</w:t>
      </w:r>
      <w:r w:rsidR="00A068CB" w:rsidRPr="001826AC">
        <w:rPr>
          <w:rFonts w:ascii="Times New Roman" w:hAnsi="Times New Roman" w:cs="Times New Roman"/>
          <w:sz w:val="28"/>
          <w:szCs w:val="28"/>
        </w:rPr>
        <w:t xml:space="preserve"> </w:t>
      </w:r>
      <w:r w:rsidR="009F460D">
        <w:rPr>
          <w:rFonts w:ascii="Times New Roman" w:hAnsi="Times New Roman" w:cs="Times New Roman"/>
          <w:sz w:val="28"/>
          <w:szCs w:val="28"/>
        </w:rPr>
        <w:t xml:space="preserve">и факторов защиты, воздействующих </w:t>
      </w:r>
      <w:proofErr w:type="gramStart"/>
      <w:r w:rsidR="009F4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460D">
        <w:rPr>
          <w:rFonts w:ascii="Times New Roman" w:hAnsi="Times New Roman" w:cs="Times New Roman"/>
          <w:sz w:val="28"/>
          <w:szCs w:val="28"/>
        </w:rPr>
        <w:t xml:space="preserve"> обследуемых. Выявляет повышенную и незначительную вероятность  вовлечения  в зависимое поведение</w:t>
      </w:r>
      <w:proofErr w:type="gramStart"/>
      <w:r w:rsidR="009F460D">
        <w:rPr>
          <w:rFonts w:ascii="Times New Roman" w:hAnsi="Times New Roman" w:cs="Times New Roman"/>
          <w:sz w:val="28"/>
          <w:szCs w:val="28"/>
        </w:rPr>
        <w:t>.</w:t>
      </w:r>
      <w:r w:rsidR="007C2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C2F73">
        <w:rPr>
          <w:rFonts w:ascii="Times New Roman" w:hAnsi="Times New Roman" w:cs="Times New Roman"/>
          <w:sz w:val="28"/>
          <w:szCs w:val="28"/>
        </w:rPr>
        <w:t>итоги тестирования прилагаются).</w:t>
      </w:r>
    </w:p>
    <w:p w:rsidR="00F6156A" w:rsidRPr="009847F1" w:rsidRDefault="009847F1">
      <w:pPr>
        <w:rPr>
          <w:rFonts w:ascii="Times New Roman" w:hAnsi="Times New Roman" w:cs="Times New Roman"/>
          <w:sz w:val="28"/>
          <w:szCs w:val="28"/>
        </w:rPr>
      </w:pPr>
      <w:r w:rsidRPr="009847F1">
        <w:rPr>
          <w:rFonts w:ascii="Times New Roman" w:hAnsi="Times New Roman" w:cs="Times New Roman"/>
          <w:sz w:val="28"/>
          <w:szCs w:val="28"/>
        </w:rPr>
        <w:t xml:space="preserve">Согласно годовому плану в 9-11 х классах было проведено тестирование с целью выявления уровня психологической подготовки к ГИА. </w:t>
      </w:r>
    </w:p>
    <w:p w:rsidR="00701EB5" w:rsidRPr="00701EB5" w:rsidRDefault="00701EB5" w:rsidP="00701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 по результатам исследования психологической готовности учащихся 9-ых классов к сдаче ОГЭ.</w:t>
      </w:r>
    </w:p>
    <w:p w:rsidR="00701EB5" w:rsidRPr="00701EB5" w:rsidRDefault="00701EB5" w:rsidP="00701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1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Количество: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proofErr w:type="gramStart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уч., 9 Б – 29 уч.</w:t>
      </w:r>
    </w:p>
    <w:p w:rsidR="00701EB5" w:rsidRPr="00701EB5" w:rsidRDefault="00701EB5" w:rsidP="0070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1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психологической готовности выпускников к ОГЭ.</w:t>
      </w:r>
    </w:p>
    <w:p w:rsidR="00701EB5" w:rsidRPr="00701EB5" w:rsidRDefault="00701EB5" w:rsidP="00701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психологической готовности выпускников к сдаче экзаменов использовались следующие методики:</w:t>
      </w:r>
    </w:p>
    <w:p w:rsidR="00701EB5" w:rsidRPr="00701EB5" w:rsidRDefault="00701EB5" w:rsidP="00701E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изучения эмоциональной напряженности.</w:t>
      </w:r>
    </w:p>
    <w:p w:rsidR="00701EB5" w:rsidRPr="00701EB5" w:rsidRDefault="00701EB5" w:rsidP="00701EB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исследования психологической готовности выпускников к сдаче экзаменов.</w:t>
      </w:r>
    </w:p>
    <w:p w:rsidR="00701EB5" w:rsidRPr="00701EB5" w:rsidRDefault="00701EB5" w:rsidP="00701E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исследования:</w:t>
      </w:r>
    </w:p>
    <w:p w:rsidR="00701EB5" w:rsidRPr="00701EB5" w:rsidRDefault="00701EB5" w:rsidP="00701E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эмоциональной напряженности.</w:t>
      </w:r>
    </w:p>
    <w:p w:rsidR="00701EB5" w:rsidRPr="00701EB5" w:rsidRDefault="00701EB5" w:rsidP="00701EB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Высокий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эмоционального напряжения в 9 «Б» классе имеет 1 чел. Это говорит о том, что ситуация экзамена вызывает у учащегося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сильное беспокойство, тревогу, напряжение. Таких учащихся постоянно 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тревожат мысли о предстоящих экзаменах. Несмотря на уверенность в своих знаниях, испытывают страх перед опросом на экзаменах. Их пугает, что они не смогут усвоить всего учебного материала.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Средний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эмоциональной напряженности в 9 «А» классе имеют 8 чел., в 9 «Б» - 3 чел. Свидетельствует о том, что у этих учащихся преобладают тревожные мысли, их пугают возможные неудачи на экзаменах, в некоторой степени могут испытывать неуверенность перед предстоящими экзаменами. Но в целом их эмоциональное состояние можно считать удовлетворительным.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Низкий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эмоционального напряжения в 9 «А» классе имеют 6 чел., в 9 «Б» - 12 чел. Данный показатель свидетельствует о нормальном эмоциональном состоянии учащихся. Эти учащиеся 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могут организовать свой распорядок дня, обычно успевают сделать все, что планировали. Перед предстоящими экзаменами они спят спокойно. Их ничто не может вывести из хорошего расположения духа.</w:t>
      </w:r>
    </w:p>
    <w:p w:rsidR="00701EB5" w:rsidRPr="00701EB5" w:rsidRDefault="00701EB5" w:rsidP="00701E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EB5" w:rsidRPr="00701EB5" w:rsidRDefault="00701EB5" w:rsidP="00701E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эмоциональной напряженности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701EB5" w:rsidRPr="00701EB5" w:rsidTr="00701EB5">
        <w:trPr>
          <w:trHeight w:val="48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5" w:rsidRPr="00701EB5" w:rsidRDefault="00701EB5" w:rsidP="00701EB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«Б»</w:t>
            </w:r>
          </w:p>
        </w:tc>
      </w:tr>
      <w:tr w:rsidR="00701EB5" w:rsidRPr="00701EB5" w:rsidTr="00701EB5">
        <w:trPr>
          <w:trHeight w:val="48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6 %</w:t>
            </w:r>
          </w:p>
        </w:tc>
      </w:tr>
      <w:tr w:rsidR="00701EB5" w:rsidRPr="00701EB5" w:rsidTr="00701EB5">
        <w:trPr>
          <w:trHeight w:val="48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57 %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19 %</w:t>
            </w:r>
          </w:p>
        </w:tc>
      </w:tr>
      <w:tr w:rsidR="00701EB5" w:rsidRPr="00701EB5" w:rsidTr="00701EB5">
        <w:trPr>
          <w:trHeight w:val="5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75 %</w:t>
            </w:r>
          </w:p>
        </w:tc>
      </w:tr>
    </w:tbl>
    <w:p w:rsidR="00701EB5" w:rsidRPr="00701EB5" w:rsidRDefault="00701EB5" w:rsidP="00701E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6C8FD6" wp14:editId="0ED7089F">
            <wp:extent cx="4905375" cy="3257550"/>
            <wp:effectExtent l="0" t="0" r="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1EB5" w:rsidRPr="00701EB5" w:rsidRDefault="00701EB5" w:rsidP="00701EB5">
      <w:pPr>
        <w:widowControl w:val="0"/>
        <w:numPr>
          <w:ilvl w:val="0"/>
          <w:numId w:val="3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психологической готовности выпускников к сдаче ОГЭ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Анкета 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психологической готовности выпускников к сдаче ОГЭ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включает в себя следующие шкалы:</w:t>
      </w:r>
    </w:p>
    <w:p w:rsidR="00701EB5" w:rsidRPr="00701EB5" w:rsidRDefault="00701EB5" w:rsidP="00701EB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- Уровень тревоги;</w:t>
      </w:r>
    </w:p>
    <w:p w:rsidR="00701EB5" w:rsidRPr="00701EB5" w:rsidRDefault="00701EB5" w:rsidP="00701EB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- Владение навыками самоконтроля и самоорганизации;</w:t>
      </w:r>
    </w:p>
    <w:p w:rsidR="00701EB5" w:rsidRPr="00701EB5" w:rsidRDefault="00701EB5" w:rsidP="00701EB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- Знакомство с процедурой экзамена;</w:t>
      </w:r>
    </w:p>
    <w:p w:rsidR="00701EB5" w:rsidRPr="00701EB5" w:rsidRDefault="00701EB5" w:rsidP="00701EB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- Общий уровень психологической готовности.</w:t>
      </w:r>
    </w:p>
    <w:p w:rsidR="00701EB5" w:rsidRPr="00701EB5" w:rsidRDefault="00701EB5" w:rsidP="00701EB5">
      <w:pPr>
        <w:spacing w:after="0" w:line="360" w:lineRule="auto"/>
        <w:ind w:left="-120" w:firstLine="1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1EB5" w:rsidRPr="00701EB5" w:rsidRDefault="00701EB5" w:rsidP="00701EB5">
      <w:pPr>
        <w:spacing w:after="0" w:line="360" w:lineRule="auto"/>
        <w:ind w:left="-120" w:firstLine="12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EB5">
        <w:rPr>
          <w:rFonts w:ascii="Times New Roman" w:eastAsia="Calibri" w:hAnsi="Times New Roman" w:cs="Times New Roman"/>
          <w:sz w:val="28"/>
          <w:szCs w:val="28"/>
          <w:u w:val="single"/>
        </w:rPr>
        <w:t>Уровень тревоги</w:t>
      </w:r>
    </w:p>
    <w:p w:rsidR="00701EB5" w:rsidRPr="00701EB5" w:rsidRDefault="00701EB5" w:rsidP="00701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1EB5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Высокий</w:t>
      </w:r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уровень тревожности в 9 «А» классе имеют 2 чел., в 9 «Б» - 2 чел. Это говорит о том, что учащиеся волнуются, когда думают о предстоящих экзаменах. Считают, что могут не сдать на высокую оценку. Думают, что не смогут справиться с тревогой на экзамене, а также считают, что экзамен им не по силам.</w:t>
      </w:r>
    </w:p>
    <w:p w:rsidR="00701EB5" w:rsidRPr="00701EB5" w:rsidRDefault="00701EB5" w:rsidP="00701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1EB5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Средний</w:t>
      </w:r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уровень тревожности в 9 «А» классе имеют 8 чел., в 9 «Б» - 6 чел. Свидетельствует, о том, что учащиеся несколько переживают за предстоящие экзамены, волнуются, экзамены и их результаты не </w:t>
      </w:r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безразличны выпускникам. Однако</w:t>
      </w:r>
      <w:proofErr w:type="gramStart"/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proofErr w:type="gramEnd"/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данный уровень тревожности можно считать оптимальным.</w:t>
      </w:r>
    </w:p>
    <w:p w:rsidR="00701EB5" w:rsidRPr="00701EB5" w:rsidRDefault="00701EB5" w:rsidP="00701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Низкий</w:t>
      </w:r>
      <w:r w:rsidRPr="00701EB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уровень тревожности в 9 «А» классе имеют 4 чел., в 9 «Б» - 8 чел. Данный показатель говорит об отсутствии у выпускников тревожности перед предстоящими экзаменами, что в свою очередь может свидетельствовать  о сниженной мотивации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701EB5" w:rsidRPr="00701EB5" w:rsidTr="00701EB5">
        <w:trPr>
          <w:trHeight w:val="4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5" w:rsidRPr="00701EB5" w:rsidRDefault="00701EB5" w:rsidP="00701E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«Б»</w:t>
            </w:r>
          </w:p>
        </w:tc>
      </w:tr>
      <w:tr w:rsidR="00701EB5" w:rsidRPr="00701EB5" w:rsidTr="00701EB5">
        <w:trPr>
          <w:trHeight w:val="46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12 %</w:t>
            </w:r>
          </w:p>
        </w:tc>
      </w:tr>
      <w:tr w:rsidR="00701EB5" w:rsidRPr="00701EB5" w:rsidTr="00701EB5">
        <w:trPr>
          <w:trHeight w:val="46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38 %</w:t>
            </w:r>
          </w:p>
        </w:tc>
      </w:tr>
      <w:tr w:rsidR="00701EB5" w:rsidRPr="00701EB5" w:rsidTr="00701EB5">
        <w:trPr>
          <w:trHeight w:val="48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</w:tr>
    </w:tbl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CD26F" wp14:editId="3FB1B1EF">
            <wp:extent cx="4676775" cy="3086100"/>
            <wp:effectExtent l="0" t="0" r="0" b="0"/>
            <wp:docPr id="2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EB5">
        <w:rPr>
          <w:rFonts w:ascii="Times New Roman" w:eastAsia="Calibri" w:hAnsi="Times New Roman" w:cs="Times New Roman"/>
          <w:sz w:val="28"/>
          <w:szCs w:val="28"/>
          <w:u w:val="single"/>
        </w:rPr>
        <w:t>Владение навыками самоконтроля и самоорганизации</w:t>
      </w:r>
    </w:p>
    <w:p w:rsidR="00701EB5" w:rsidRPr="00701EB5" w:rsidRDefault="00701EB5" w:rsidP="00701EB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Высокий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самоконтроля в 9 «А» классе имеют 7 чел., в 9 «Б» - 10 чел. Это говорит о том, что учащиеся с данным показателем не знают, как успокоить себя в трудной ситуации (во время экзамена). Они не умеют правильно распределять свое время и силы на выполнение заданий экзамена. Им тяжело переключаться или переходить от одной деятельности к другой от одного типа заданий к другому.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Средний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самоконтроля в 9 «А» классе имеют 6 чел., в 9 «Б» - 4 чел. Свидетельствует о том, что у этих учащихся в средней степени развиты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навыки самоконтроля и самоорганизации. Они не всегда могут правильно организовать как подготовку к экзамену, так и свою работу непосредственно на экзамене.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Низкий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самоконтроля в 9 «А» классе имеют 1 чел., в 9 «Б» - 2 чел. Данный показатель свидетельствует о том, что учащиеся могут правильно распределить время и силы во время экзамена. Они знают, как выбрать наилучший способ выполнения заданий.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701EB5" w:rsidRPr="00701EB5" w:rsidTr="00701EB5">
        <w:trPr>
          <w:trHeight w:val="4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5" w:rsidRPr="00701EB5" w:rsidRDefault="00701EB5" w:rsidP="00701E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«Б»</w:t>
            </w:r>
          </w:p>
        </w:tc>
      </w:tr>
      <w:tr w:rsidR="00701EB5" w:rsidRPr="00701EB5" w:rsidTr="00701EB5">
        <w:trPr>
          <w:trHeight w:val="48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62 %</w:t>
            </w:r>
          </w:p>
        </w:tc>
      </w:tr>
      <w:tr w:rsidR="00701EB5" w:rsidRPr="00701EB5" w:rsidTr="00701EB5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25 %</w:t>
            </w:r>
          </w:p>
        </w:tc>
      </w:tr>
      <w:tr w:rsidR="00701EB5" w:rsidRPr="00701EB5" w:rsidTr="00701EB5">
        <w:trPr>
          <w:trHeight w:val="49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13 %</w:t>
            </w:r>
          </w:p>
        </w:tc>
      </w:tr>
    </w:tbl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3EDDA" wp14:editId="74C8775E">
            <wp:extent cx="4210050" cy="2762250"/>
            <wp:effectExtent l="0" t="0" r="0" b="0"/>
            <wp:docPr id="3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EB5">
        <w:rPr>
          <w:rFonts w:ascii="Times New Roman" w:eastAsia="Calibri" w:hAnsi="Times New Roman" w:cs="Times New Roman"/>
          <w:sz w:val="28"/>
          <w:szCs w:val="28"/>
          <w:u w:val="single"/>
        </w:rPr>
        <w:t>Знакомство с процедурой экзамена</w:t>
      </w:r>
    </w:p>
    <w:p w:rsidR="00701EB5" w:rsidRPr="00701EB5" w:rsidRDefault="00701EB5" w:rsidP="00701EB5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Высокий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знания процедуры экзамена в 9 «А» классе имеют 7 чел., в 9 «Б» - 8 чел. Учащиеся с данным уровнем хорошо представляют, как проходит ЕГЭ. Знают, какие задания необходимо выполнить, чтобы получить желаемую оценку. В целом достаточно много знают о ОГЭ.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Средний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знания процедуры экзамена в 9 «А» классе имеют 7 чел., в 9 «Б» - 6 чел. Свидетельствует о том, что учащиеся с данным уровнем считают, что результаты  ОГЭ важны для их будущего, однако не достаточно </w:t>
      </w:r>
      <w:proofErr w:type="gramStart"/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представляют</w:t>
      </w:r>
      <w:proofErr w:type="gramEnd"/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проходит ОГЭ, и мало знают о преимуществах ОГЭ.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Низкий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знания процедуры экзамена в 9 «А» классе имеют 0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чел., в 9 «Б» - 2 чел. Это говорит о том, что данная категория учащихся не </w:t>
      </w:r>
      <w:proofErr w:type="gramStart"/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представляет</w:t>
      </w:r>
      <w:proofErr w:type="gramEnd"/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проходит ОГЭ. Мало знают о процедуре ОГЭ и в целом считают, что у ОГЭ много недостатков.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701EB5" w:rsidRPr="00701EB5" w:rsidTr="00701EB5">
        <w:trPr>
          <w:trHeight w:val="4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5" w:rsidRPr="00701EB5" w:rsidRDefault="00701EB5" w:rsidP="00701EB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«Б»</w:t>
            </w:r>
          </w:p>
        </w:tc>
      </w:tr>
      <w:tr w:rsidR="00701EB5" w:rsidRPr="00701EB5" w:rsidTr="00701EB5">
        <w:trPr>
          <w:trHeight w:val="4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</w:tr>
      <w:tr w:rsidR="00701EB5" w:rsidRPr="00701EB5" w:rsidTr="00701EB5">
        <w:trPr>
          <w:trHeight w:val="4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37 %</w:t>
            </w:r>
          </w:p>
        </w:tc>
      </w:tr>
      <w:tr w:rsidR="00701EB5" w:rsidRPr="00701EB5" w:rsidTr="00701EB5">
        <w:trPr>
          <w:trHeight w:val="47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13 %</w:t>
            </w:r>
          </w:p>
        </w:tc>
      </w:tr>
    </w:tbl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91BC9" wp14:editId="68ABBC18">
            <wp:extent cx="4905375" cy="3257550"/>
            <wp:effectExtent l="0" t="0" r="0" b="0"/>
            <wp:docPr id="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01EB5" w:rsidRPr="00701EB5" w:rsidRDefault="00701EB5" w:rsidP="00F34CD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EB5">
        <w:rPr>
          <w:rFonts w:ascii="Times New Roman" w:eastAsia="Calibri" w:hAnsi="Times New Roman" w:cs="Times New Roman"/>
          <w:sz w:val="28"/>
          <w:szCs w:val="28"/>
          <w:u w:val="single"/>
        </w:rPr>
        <w:t>Общий уровень психологической готовности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Высокий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психологической готовности в 9 «А» классе имеют 9 чел., в 9 «Б» - 2 чел. Это говорит о том, что данная категория учащихся полностью готовы в психологическом плане к сдаче ОГЭ. Эти учащиеся уверенны в своих силах, они умеют правильно распределить время и силы во время экзамена, хорошо осведомлены о процедуре проведения ОГЭ.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Средний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психологической готовности в 9 «А» классе имеют 5 чел., в 9 «Б» - 5 чел. Свидетельствует о том, что психологическая готовность к экзаменам у учащихся выражена средне. Эти дети несколько волнуются перед предстоящими экзаменами, они не всегда могут настроиться на продуктивную работу, могут не знать каких-либо особенностей </w:t>
      </w:r>
      <w:r w:rsidR="00F34C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ОГЭ.</w:t>
      </w:r>
    </w:p>
    <w:p w:rsidR="00701EB5" w:rsidRPr="00701EB5" w:rsidRDefault="00701EB5" w:rsidP="00701EB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Низкий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уровень психологической готовности в 9 «А» классе имеют 2 чел., в 9 «Б» - 2 чел. Учащиеся с данным уровнем в целом психологически не готовы к сдаче экзаменов. Чаще всего у них повышенный уровень тревожности, они бояться предстоящих экзаменом, чувствуют, что не справятся с ними. При этом их знания по предметам могут быть удовлетворительными. Данным учащимся необходима дополнительная помощь в подготовке к ОГЭ.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701EB5" w:rsidRPr="00701EB5" w:rsidTr="00701EB5">
        <w:trPr>
          <w:trHeight w:val="45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B5" w:rsidRPr="00701EB5" w:rsidRDefault="00701EB5" w:rsidP="00701EB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9 «Б»</w:t>
            </w:r>
          </w:p>
        </w:tc>
      </w:tr>
      <w:tr w:rsidR="00701EB5" w:rsidRPr="00701EB5" w:rsidTr="00701EB5">
        <w:trPr>
          <w:trHeight w:val="47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56 %</w:t>
            </w:r>
          </w:p>
        </w:tc>
      </w:tr>
      <w:tr w:rsidR="00701EB5" w:rsidRPr="00701EB5" w:rsidTr="00701EB5">
        <w:trPr>
          <w:trHeight w:val="47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31 %</w:t>
            </w:r>
          </w:p>
        </w:tc>
      </w:tr>
      <w:tr w:rsidR="00701EB5" w:rsidRPr="00701EB5" w:rsidTr="00701EB5">
        <w:trPr>
          <w:trHeight w:val="4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14 %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13 %</w:t>
            </w:r>
          </w:p>
        </w:tc>
      </w:tr>
    </w:tbl>
    <w:p w:rsidR="00701EB5" w:rsidRPr="00701EB5" w:rsidRDefault="00701EB5" w:rsidP="00701EB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01E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8B126" wp14:editId="7120D8A4">
            <wp:extent cx="3295650" cy="2181225"/>
            <wp:effectExtent l="0" t="0" r="0" b="0"/>
            <wp:docPr id="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1EB5" w:rsidRPr="00701EB5" w:rsidRDefault="00701EB5" w:rsidP="00701EB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701EB5" w:rsidRPr="00701EB5" w:rsidRDefault="00701EB5" w:rsidP="00701EB5">
      <w:pPr>
        <w:numPr>
          <w:ilvl w:val="0"/>
          <w:numId w:val="4"/>
        </w:num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В 9 «А» классе преобладает средний уровень эмоциональной напряженности. Это говорит о том, что в данных классах учащиеся умеют контролировать и регулировать свое эмоциональное состояние. Мысли о предстоящих экзаменах тревожат учащихся, но не настолько, чтобы дезорганизовать их учебную деятельность.</w:t>
      </w:r>
    </w:p>
    <w:p w:rsidR="00701EB5" w:rsidRPr="00701EB5" w:rsidRDefault="00701EB5" w:rsidP="00701E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 xml:space="preserve">В 9 «Б» классе уровень эмоционального напряжения соответствует норме. Большинство учеников этого класса адекватно оценивают свои силы </w:t>
      </w:r>
      <w:r w:rsidRPr="00701EB5">
        <w:rPr>
          <w:rFonts w:ascii="Times New Roman" w:eastAsia="Calibri" w:hAnsi="Times New Roman" w:cs="Times New Roman"/>
          <w:sz w:val="28"/>
          <w:szCs w:val="28"/>
        </w:rPr>
        <w:lastRenderedPageBreak/>
        <w:t>перед предстоящими экзаменами. И только нескольким необходима психолого-педагогическая помощь.</w:t>
      </w:r>
    </w:p>
    <w:p w:rsidR="00701EB5" w:rsidRPr="00701EB5" w:rsidRDefault="00701EB5" w:rsidP="00701EB5">
      <w:pPr>
        <w:numPr>
          <w:ilvl w:val="0"/>
          <w:numId w:val="4"/>
        </w:num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EB5">
        <w:rPr>
          <w:rFonts w:ascii="Times New Roman" w:eastAsia="Calibri" w:hAnsi="Times New Roman" w:cs="Times New Roman"/>
          <w:sz w:val="28"/>
          <w:szCs w:val="28"/>
        </w:rPr>
        <w:t>В 9-х классах уровень тревоги находится на среднем уровне, следовательно, девятиклассники более уверены в себе и своих силах.</w:t>
      </w:r>
    </w:p>
    <w:p w:rsidR="00701EB5" w:rsidRPr="00701EB5" w:rsidRDefault="00701EB5" w:rsidP="00701EB5">
      <w:pPr>
        <w:widowControl w:val="0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9-х классах преобладает высокий уровень самоконтроля и самоорганизации. То есть учащиеся этих классов 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правильно распределить время и силы во время экзамена. Они знают, как выбрать наилучший способ выполнения заданий. </w:t>
      </w:r>
    </w:p>
    <w:p w:rsidR="00701EB5" w:rsidRPr="00701EB5" w:rsidRDefault="00701EB5" w:rsidP="00701EB5">
      <w:pPr>
        <w:widowControl w:val="0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всех классах преобладает высокий уровень знакомства с процедурой экзамена. Это говорит о том, что учащиеся знакомы технологией и условиями проведения ОГЭ, знают преимущества ОГЭ. </w:t>
      </w:r>
    </w:p>
    <w:p w:rsidR="00701EB5" w:rsidRPr="00701EB5" w:rsidRDefault="00701EB5" w:rsidP="00701EB5">
      <w:pPr>
        <w:widowControl w:val="0"/>
        <w:numPr>
          <w:ilvl w:val="0"/>
          <w:numId w:val="4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в 9</w:t>
      </w:r>
      <w:r w:rsidRPr="00701E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классах уровень психологической готовности к сдаче ОГЭ у учащихся высокий. </w:t>
      </w:r>
    </w:p>
    <w:p w:rsidR="00701EB5" w:rsidRPr="00701EB5" w:rsidRDefault="00701EB5" w:rsidP="00701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по результатам исследования психологической готовности учащихся 11-го класса к сдаче ЕГЭ.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диагностики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изучение психологической готовности выпускников к сдаче экзаменов.</w:t>
      </w:r>
    </w:p>
    <w:p w:rsidR="00701EB5" w:rsidRPr="00701EB5" w:rsidRDefault="00701EB5" w:rsidP="00701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диагностике принял участие – 17 человек.</w:t>
      </w:r>
    </w:p>
    <w:p w:rsidR="00701EB5" w:rsidRPr="00701EB5" w:rsidRDefault="00701EB5" w:rsidP="00701E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«Готовность к ЕГЭ».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701EB5" w:rsidRPr="00701EB5" w:rsidTr="00701E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информированности о процедуре ЕГЭ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выбора</w:t>
            </w:r>
          </w:p>
        </w:tc>
      </w:tr>
      <w:tr w:rsidR="00701EB5" w:rsidRPr="00701EB5" w:rsidTr="00701E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701EB5" w:rsidRPr="00701EB5" w:rsidTr="00701EB5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</w:tbl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F3368" wp14:editId="5273F319">
            <wp:extent cx="2857500" cy="1838325"/>
            <wp:effectExtent l="0" t="0" r="0" b="0"/>
            <wp:docPr id="6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тестирования. У учащихся 11 класса высокий показатель информированности о процедуре ЕГЭ.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2 таблица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701EB5" w:rsidRPr="00701EB5" w:rsidTr="00701EB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владения навыками самоконтроля, самоорганизации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выбора</w:t>
            </w:r>
          </w:p>
        </w:tc>
      </w:tr>
      <w:tr w:rsidR="00701EB5" w:rsidRPr="00701EB5" w:rsidTr="00701EB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701EB5" w:rsidRPr="00701EB5" w:rsidTr="00701EB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</w:tr>
    </w:tbl>
    <w:p w:rsidR="00701EB5" w:rsidRPr="00701EB5" w:rsidRDefault="00701EB5" w:rsidP="00701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1F503" wp14:editId="0E615E0B">
            <wp:extent cx="2905125" cy="1981200"/>
            <wp:effectExtent l="0" t="0" r="0" b="0"/>
            <wp:docPr id="7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 свидетельствует о том, что 87% учащихся 11 класса владеют навыками самоконтроля и самоорганизации. Уверены в своих силах и в том, что смогут выстроить стратегию деятельности на экзамене.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3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701EB5" w:rsidRPr="00701EB5" w:rsidTr="00701EB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тревожности связанный с процедурой ЕГЭ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выбора</w:t>
            </w:r>
          </w:p>
        </w:tc>
      </w:tr>
      <w:tr w:rsidR="00701EB5" w:rsidRPr="00701EB5" w:rsidTr="00701EB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701EB5" w:rsidRPr="00701EB5" w:rsidTr="00701EB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</w:tr>
    </w:tbl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17954" wp14:editId="5E78613B">
            <wp:extent cx="3248025" cy="2143125"/>
            <wp:effectExtent l="0" t="0" r="0" b="0"/>
            <wp:docPr id="8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4CDC" w:rsidRDefault="00701EB5" w:rsidP="00F3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тестирования свидетельствует о том, что у 77% учащихся 11 класса низкий показатель тревожности связанный с процедурой ЕГЭ.</w:t>
      </w:r>
    </w:p>
    <w:p w:rsidR="00F34CDC" w:rsidRDefault="00F34CDC" w:rsidP="00F3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DC" w:rsidRPr="00F34CDC" w:rsidRDefault="00F34CDC" w:rsidP="00F34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«Шкала самооценки и тревожности» </w:t>
      </w:r>
      <w:proofErr w:type="spellStart"/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Ч.Спилберга</w:t>
      </w:r>
      <w:proofErr w:type="spellEnd"/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1EB5" w:rsidRPr="00701EB5" w:rsidRDefault="00701EB5" w:rsidP="00701EB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805"/>
        <w:gridCol w:w="2805"/>
      </w:tblGrid>
      <w:tr w:rsidR="00701EB5" w:rsidRPr="00701EB5" w:rsidTr="00701EB5">
        <w:trPr>
          <w:trHeight w:val="3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тревожности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выборов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01EB5" w:rsidRPr="00701EB5" w:rsidTr="00701EB5">
        <w:trPr>
          <w:trHeight w:val="244"/>
        </w:trPr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личностной тревожности</w:t>
            </w:r>
          </w:p>
        </w:tc>
      </w:tr>
      <w:tr w:rsidR="00701EB5" w:rsidRPr="00701EB5" w:rsidTr="00701EB5">
        <w:trPr>
          <w:trHeight w:val="24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1EB5" w:rsidRPr="00701EB5" w:rsidTr="00701EB5">
        <w:trPr>
          <w:trHeight w:val="24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701EB5" w:rsidRPr="00701EB5" w:rsidTr="00701EB5">
        <w:trPr>
          <w:trHeight w:val="24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01EB5" w:rsidRPr="00701EB5" w:rsidTr="00701EB5">
        <w:trPr>
          <w:trHeight w:val="244"/>
        </w:trPr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реактивной (ситуативной) тревожности</w:t>
            </w:r>
          </w:p>
        </w:tc>
      </w:tr>
      <w:tr w:rsidR="00701EB5" w:rsidRPr="00701EB5" w:rsidTr="00701EB5">
        <w:trPr>
          <w:trHeight w:val="25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01EB5" w:rsidRPr="00701EB5" w:rsidTr="00701EB5">
        <w:trPr>
          <w:trHeight w:val="13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701EB5" w:rsidRPr="00701EB5" w:rsidTr="00701EB5">
        <w:trPr>
          <w:trHeight w:val="13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70CD8" wp14:editId="19F49057">
            <wp:extent cx="3781425" cy="2238375"/>
            <wp:effectExtent l="0" t="0" r="0" b="0"/>
            <wp:docPr id="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 тестирования показал, что в классе у 57 % учащихся умеренный и низкий  уровни личностной тревожности. И у 67 % учащихся класса низкий и умеренный показатель ситуативной тревожности. Эти показатели соответствуют возрастным особенностям,  у учащихся 11 класса нервная система становится более уравновешенной, как правило, они менее раздражительны, более оптимистичны и не слишком тревожны. Лучше управляют своим эмоциональным состоянием, их настроение более устойчиво.</w:t>
      </w: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«Опросник Казанцевой Г.Н.» - изучение общей самооценки.</w:t>
      </w:r>
    </w:p>
    <w:p w:rsidR="00701EB5" w:rsidRPr="00701EB5" w:rsidRDefault="00701EB5" w:rsidP="00701E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46"/>
        <w:gridCol w:w="1036"/>
      </w:tblGrid>
      <w:tr w:rsidR="00701EB5" w:rsidRPr="00701EB5" w:rsidTr="00701EB5">
        <w:trPr>
          <w:trHeight w:val="43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самооценки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выборов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01EB5" w:rsidRPr="00701EB5" w:rsidTr="00701EB5">
        <w:trPr>
          <w:trHeight w:val="21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B02060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701EB5" w:rsidRPr="00701EB5" w:rsidTr="00701EB5">
        <w:trPr>
          <w:trHeight w:val="21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01EB5" w:rsidRPr="00701EB5" w:rsidTr="00701EB5">
        <w:trPr>
          <w:trHeight w:val="21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B02060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01EB5" w:rsidRPr="00701EB5" w:rsidRDefault="00701EB5" w:rsidP="00701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81 % учащихся класса – высокий уровень самооценки. Этот показатель свидетельствуют о том, что самооценка в классе соответствует возрастной норме. Она  относительно устойчива, сравнительно бесконфликтна и 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адекватна. У ребят преобладает оптимистичный взгляд на себя и свои возможности, они редко сомневаются в своих силах.</w:t>
      </w: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Методика изучения типа школьной мотивации у старшеклассников.</w:t>
      </w:r>
    </w:p>
    <w:p w:rsidR="00701EB5" w:rsidRPr="00701EB5" w:rsidRDefault="00701EB5" w:rsidP="00701E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3988"/>
      </w:tblGrid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выборов по классу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одобрения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Познавательный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Социальной необходимости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701EB5" w:rsidRPr="00701EB5" w:rsidTr="00701EB5">
        <w:trPr>
          <w:trHeight w:val="25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Престижность учёбы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1EB5" w:rsidRPr="00701EB5" w:rsidTr="00701EB5">
        <w:trPr>
          <w:trHeight w:val="268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 наказания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B5" w:rsidRPr="00701EB5" w:rsidRDefault="00701EB5" w:rsidP="0070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23E66" wp14:editId="72C095A2">
            <wp:extent cx="3695700" cy="2228850"/>
            <wp:effectExtent l="0" t="0" r="0" b="0"/>
            <wp:docPr id="11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у учащихся 11 класса преобладают следующие мотивы:</w:t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осознания социальной необходимости, 2. познавательный мотив и 3.мотив достижения.</w:t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 преобладанием мотива осознания социальной необходимости учатся, прежде всего, потому, что осознают необходимость хорошей учёбы в школе для собственного успешного будущего.</w:t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познавательного мотива показывает выраженность у учащихся интереса к собственно новому знанию, новой информации. Учащиеся с выраженным познавательным интересом получают удовольствие от самого процесса открытия нового.</w:t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мотива достижения – учащиеся с выраженной мотивацией достижения учатся прежде всего из желания доказать самому себе, что способны на многое у них преобладает желание быть лучшими, осознавать себя  способными и умными.</w:t>
      </w:r>
    </w:p>
    <w:p w:rsidR="00701EB5" w:rsidRPr="00701EB5" w:rsidRDefault="00701EB5" w:rsidP="00701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готовности выпускника к сдаче ЕГЭ  выделяются три  </w:t>
      </w:r>
    </w:p>
    <w:p w:rsidR="00701EB5" w:rsidRPr="00701EB5" w:rsidRDefault="00701EB5" w:rsidP="00701EB5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proofErr w:type="gramEnd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компонента: познавательный, личностный и процессуальный.    </w:t>
      </w:r>
    </w:p>
    <w:p w:rsidR="00701EB5" w:rsidRPr="00701EB5" w:rsidRDefault="00701EB5" w:rsidP="00701EB5">
      <w:pPr>
        <w:numPr>
          <w:ilvl w:val="0"/>
          <w:numId w:val="6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Процессуальный компонент включает в себя знакомство с процедурой ЕГЭ, навыки работы с тестами.</w:t>
      </w:r>
    </w:p>
    <w:p w:rsidR="00701EB5" w:rsidRPr="00701EB5" w:rsidRDefault="00701EB5" w:rsidP="00701EB5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компонент характеризуется наличием у выпускника личностно-смысловой позиции, позволяющей выстроить стратегию деятельности на экзамене. Владение способами снижения тревоги, управления своим эмоциональным состоянием.</w:t>
      </w:r>
    </w:p>
    <w:p w:rsidR="00701EB5" w:rsidRPr="00701EB5" w:rsidRDefault="00701EB5" w:rsidP="00701EB5">
      <w:pPr>
        <w:numPr>
          <w:ilvl w:val="0"/>
          <w:numId w:val="6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компонент включает в себя не только знания, но в большей степени </w:t>
      </w:r>
      <w:proofErr w:type="spellStart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и наличие познавательной мотивации.</w:t>
      </w:r>
    </w:p>
    <w:p w:rsidR="00701EB5" w:rsidRPr="00701EB5" w:rsidRDefault="00701EB5" w:rsidP="00701EB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B5" w:rsidRPr="00701EB5" w:rsidRDefault="00701EB5" w:rsidP="0070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Результаты проведённой диагностики в 11 классе свидетельствуют о </w:t>
      </w:r>
      <w:proofErr w:type="spellStart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перечисленных компонентов. У учащихся высокий показатель информированности о процедуре ЕГЭ, они уверены в своих силах, владеют навыками самоконтроля и самоорганизации, умеют управлять своими эмоциями. У выпускников высокий показатель  познавательной мотивации.</w:t>
      </w:r>
    </w:p>
    <w:p w:rsidR="00F6156A" w:rsidRPr="00701EB5" w:rsidRDefault="00F6156A" w:rsidP="00F6156A">
      <w:pPr>
        <w:rPr>
          <w:sz w:val="28"/>
          <w:szCs w:val="28"/>
        </w:rPr>
      </w:pPr>
    </w:p>
    <w:p w:rsidR="00C1668B" w:rsidRPr="00F6156A" w:rsidRDefault="00F6156A" w:rsidP="00F6156A">
      <w:pPr>
        <w:rPr>
          <w:rFonts w:ascii="Times New Roman" w:hAnsi="Times New Roman" w:cs="Times New Roman"/>
          <w:sz w:val="28"/>
          <w:szCs w:val="28"/>
        </w:rPr>
      </w:pPr>
      <w:r w:rsidRPr="00701EB5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701EB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01EB5">
        <w:rPr>
          <w:rFonts w:ascii="Times New Roman" w:hAnsi="Times New Roman" w:cs="Times New Roman"/>
          <w:sz w:val="28"/>
          <w:szCs w:val="28"/>
        </w:rPr>
        <w:t>сихолог</w:t>
      </w:r>
      <w:r w:rsidRPr="00F61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79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E95D79">
        <w:rPr>
          <w:rFonts w:ascii="Times New Roman" w:hAnsi="Times New Roman" w:cs="Times New Roman"/>
          <w:sz w:val="28"/>
          <w:szCs w:val="28"/>
        </w:rPr>
        <w:t xml:space="preserve"> З.Х.</w:t>
      </w:r>
    </w:p>
    <w:sectPr w:rsidR="00C1668B" w:rsidRPr="00F6156A" w:rsidSect="00E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347"/>
    <w:multiLevelType w:val="hybridMultilevel"/>
    <w:tmpl w:val="A6C666AE"/>
    <w:lvl w:ilvl="0" w:tplc="C92C4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4E0D12"/>
    <w:multiLevelType w:val="hybridMultilevel"/>
    <w:tmpl w:val="A82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3BB5"/>
    <w:multiLevelType w:val="hybridMultilevel"/>
    <w:tmpl w:val="4BB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8C8"/>
    <w:multiLevelType w:val="hybridMultilevel"/>
    <w:tmpl w:val="4802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26733"/>
    <w:multiLevelType w:val="hybridMultilevel"/>
    <w:tmpl w:val="B2A6F8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1CB2EBF"/>
    <w:multiLevelType w:val="hybridMultilevel"/>
    <w:tmpl w:val="404E67E4"/>
    <w:lvl w:ilvl="0" w:tplc="EFA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0162C"/>
    <w:multiLevelType w:val="hybridMultilevel"/>
    <w:tmpl w:val="4282E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8B"/>
    <w:rsid w:val="000528BD"/>
    <w:rsid w:val="0007082B"/>
    <w:rsid w:val="000E7101"/>
    <w:rsid w:val="001826AC"/>
    <w:rsid w:val="001E5BD7"/>
    <w:rsid w:val="002F5052"/>
    <w:rsid w:val="00307938"/>
    <w:rsid w:val="004B6257"/>
    <w:rsid w:val="004E084C"/>
    <w:rsid w:val="0056342E"/>
    <w:rsid w:val="005A2AAB"/>
    <w:rsid w:val="005D27AE"/>
    <w:rsid w:val="006735B0"/>
    <w:rsid w:val="006C6CD8"/>
    <w:rsid w:val="006D43B9"/>
    <w:rsid w:val="00701EB5"/>
    <w:rsid w:val="007C2F73"/>
    <w:rsid w:val="008853F8"/>
    <w:rsid w:val="0089188C"/>
    <w:rsid w:val="008C48F4"/>
    <w:rsid w:val="00904505"/>
    <w:rsid w:val="009847F1"/>
    <w:rsid w:val="0099085C"/>
    <w:rsid w:val="00993C99"/>
    <w:rsid w:val="009F460D"/>
    <w:rsid w:val="00A068CB"/>
    <w:rsid w:val="00B02060"/>
    <w:rsid w:val="00B26D2C"/>
    <w:rsid w:val="00B35ED1"/>
    <w:rsid w:val="00C1668B"/>
    <w:rsid w:val="00C57371"/>
    <w:rsid w:val="00C75FAA"/>
    <w:rsid w:val="00C87F1C"/>
    <w:rsid w:val="00DF56DC"/>
    <w:rsid w:val="00E350BA"/>
    <w:rsid w:val="00E721E0"/>
    <w:rsid w:val="00E747A0"/>
    <w:rsid w:val="00E95D79"/>
    <w:rsid w:val="00F34CDC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15873015873016"/>
          <c:y val="5.4216867469879519E-2"/>
          <c:w val="0.6607142857142857"/>
          <c:h val="0.79819277108433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</c:v>
                </c:pt>
                <c:pt idx="1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0.43</c:v>
                </c:pt>
                <c:pt idx="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609664"/>
        <c:axId val="58611200"/>
        <c:axId val="0"/>
      </c:bar3DChart>
      <c:catAx>
        <c:axId val="5860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61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61120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609664"/>
        <c:crosses val="autoZero"/>
        <c:crossBetween val="between"/>
      </c:valAx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8769841269841268"/>
          <c:y val="0.37349397590361444"/>
          <c:w val="0.20436507936507936"/>
          <c:h val="0.25602409638554219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9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8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учебная мотивация 
11 "А" класс </a:t>
            </a:r>
          </a:p>
        </c:rich>
      </c:tx>
      <c:layout>
        <c:manualLayout>
          <c:xMode val="edge"/>
          <c:yMode val="edge"/>
          <c:x val="0.20105820105820105"/>
          <c:y val="1.7857142857142856E-2"/>
        </c:manualLayout>
      </c:layout>
      <c:overlay val="0"/>
      <c:spPr>
        <a:noFill/>
        <a:ln w="208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27513227513227"/>
          <c:y val="0.3125"/>
          <c:w val="0.45238095238095238"/>
          <c:h val="0.45089285714285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престижность учёбы</c:v>
                </c:pt>
              </c:strCache>
            </c:strRef>
          </c:tx>
          <c:spPr>
            <a:solidFill>
              <a:srgbClr val="9999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познавательный</c:v>
                </c:pt>
              </c:strCache>
            </c:strRef>
          </c:tx>
          <c:spPr>
            <a:solidFill>
              <a:srgbClr val="9933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соц. необходимости</c:v>
                </c:pt>
              </c:strCache>
            </c:strRef>
          </c:tx>
          <c:spPr>
            <a:solidFill>
              <a:srgbClr val="FFFFCC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соц. одобрения</c:v>
                </c:pt>
              </c:strCache>
            </c:strRef>
          </c:tx>
          <c:spPr>
            <a:solidFill>
              <a:srgbClr val="CCFF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 страх наказания</c:v>
                </c:pt>
              </c:strCache>
            </c:strRef>
          </c:tx>
          <c:spPr>
            <a:solidFill>
              <a:srgbClr val="6600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достижения</c:v>
                </c:pt>
              </c:strCache>
            </c:strRef>
          </c:tx>
          <c:spPr>
            <a:solidFill>
              <a:srgbClr val="FF8080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6"/>
          <c:order val="6"/>
          <c:tx>
            <c:strRef>
              <c:f>Лист1!$A$7</c:f>
              <c:strCache>
                <c:ptCount val="1"/>
                <c:pt idx="0">
                  <c:v>общения</c:v>
                </c:pt>
              </c:strCache>
            </c:strRef>
          </c:tx>
          <c:spPr>
            <a:solidFill>
              <a:srgbClr val="0066CC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80896"/>
        <c:axId val="74891264"/>
      </c:barChart>
      <c:catAx>
        <c:axId val="74880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мотивы</a:t>
                </a:r>
              </a:p>
            </c:rich>
          </c:tx>
          <c:layout>
            <c:manualLayout>
              <c:xMode val="edge"/>
              <c:yMode val="edge"/>
              <c:x val="0.30687830687830686"/>
              <c:y val="0.8035714285714286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9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891264"/>
        <c:scaling>
          <c:orientation val="minMax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кол. выборов</a:t>
                </a:r>
              </a:p>
            </c:rich>
          </c:tx>
          <c:layout>
            <c:manualLayout>
              <c:xMode val="edge"/>
              <c:yMode val="edge"/>
              <c:x val="1.5873015873015872E-2"/>
              <c:y val="0.35267857142857145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80896"/>
        <c:crosses val="autoZero"/>
        <c:crossBetween val="between"/>
      </c:valAx>
      <c:spPr>
        <a:solidFill>
          <a:srgbClr val="C0C0C0"/>
        </a:solidFill>
        <a:ln w="10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375661375661372"/>
          <c:y val="0"/>
          <c:w val="0.37830687830687831"/>
          <c:h val="1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607">
      <a:solidFill>
        <a:srgbClr val="000000"/>
      </a:solidFill>
      <a:prstDash val="solid"/>
    </a:ln>
  </c:spPr>
  <c:txPr>
    <a:bodyPr/>
    <a:lstStyle/>
    <a:p>
      <a:pPr>
        <a:defRPr sz="6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75E-2"/>
          <c:y val="4.7619047619047616E-2"/>
          <c:w val="0.6958333333333333"/>
          <c:h val="0.81587301587301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4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4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4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0.28999999999999998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652544"/>
        <c:axId val="58654080"/>
        <c:axId val="0"/>
      </c:bar3DChart>
      <c:catAx>
        <c:axId val="5865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65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654080"/>
        <c:scaling>
          <c:orientation val="minMax"/>
        </c:scaling>
        <c:delete val="0"/>
        <c:axPos val="l"/>
        <c:majorGridlines>
          <c:spPr>
            <a:ln w="23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652544"/>
        <c:crosses val="autoZero"/>
        <c:crossBetween val="between"/>
      </c:valAx>
      <c:spPr>
        <a:noFill/>
        <a:ln w="18962">
          <a:noFill/>
        </a:ln>
      </c:spPr>
    </c:plotArea>
    <c:legend>
      <c:legendPos val="r"/>
      <c:layout>
        <c:manualLayout>
          <c:xMode val="edge"/>
          <c:yMode val="edge"/>
          <c:x val="0.8125"/>
          <c:y val="0.38412698412698415"/>
          <c:w val="0.17916666666666667"/>
          <c:h val="0.23174603174603176"/>
        </c:manualLayout>
      </c:layout>
      <c:overlay val="0"/>
      <c:spPr>
        <a:noFill/>
        <a:ln w="2370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08816705336426"/>
          <c:y val="5.3571428571428568E-2"/>
          <c:w val="0.66357308584686769"/>
          <c:h val="0.79642857142857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0.43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8705024"/>
        <c:axId val="58706560"/>
        <c:axId val="0"/>
      </c:bar3DChart>
      <c:catAx>
        <c:axId val="5870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70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706560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705024"/>
        <c:crosses val="autoZero"/>
        <c:crossBetween val="between"/>
      </c:valAx>
      <c:spPr>
        <a:noFill/>
        <a:ln w="19019">
          <a:noFill/>
        </a:ln>
      </c:spPr>
    </c:plotArea>
    <c:legend>
      <c:legendPos val="r"/>
      <c:layout>
        <c:manualLayout>
          <c:xMode val="edge"/>
          <c:yMode val="edge"/>
          <c:x val="0.79118329466357307"/>
          <c:y val="0.37142857142857144"/>
          <c:w val="0.19953596287703015"/>
          <c:h val="0.26071428571428573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15873015873016"/>
          <c:y val="5.4216867469879519E-2"/>
          <c:w val="0.6607142857142857"/>
          <c:h val="0.798192771084337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0.5</c:v>
                </c:pt>
                <c:pt idx="1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92096"/>
        <c:axId val="65493632"/>
        <c:axId val="0"/>
      </c:bar3DChart>
      <c:catAx>
        <c:axId val="6549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9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49363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92096"/>
        <c:crosses val="autoZero"/>
        <c:crossBetween val="between"/>
      </c:valAx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8769841269841268"/>
          <c:y val="0.37349397590361444"/>
          <c:w val="0.20436507936507936"/>
          <c:h val="0.25602409638554219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9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41791044776119"/>
          <c:y val="6.3926940639269403E-2"/>
          <c:w val="0.62985074626865667"/>
          <c:h val="0.77168949771689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0.36</c:v>
                </c:pt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9 А</c:v>
                </c:pt>
                <c:pt idx="1">
                  <c:v>9 Б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517056"/>
        <c:axId val="65518592"/>
        <c:axId val="0"/>
      </c:bar3DChart>
      <c:catAx>
        <c:axId val="6551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518592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7056"/>
        <c:crosses val="autoZero"/>
        <c:crossBetween val="between"/>
      </c:valAx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7910447761194035"/>
          <c:y val="0.35616438356164382"/>
          <c:w val="0.20895522388059701"/>
          <c:h val="0.29223744292237441"/>
        </c:manualLayout>
      </c:layout>
      <c:overlay val="0"/>
      <c:spPr>
        <a:noFill/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6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3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показатель информированности  
о процедуре ЕГЭ</a:t>
            </a:r>
          </a:p>
        </c:rich>
      </c:tx>
      <c:layout>
        <c:manualLayout>
          <c:xMode val="edge"/>
          <c:yMode val="edge"/>
          <c:x val="0.18275862068965518"/>
          <c:y val="2.185792349726776E-2"/>
        </c:manualLayout>
      </c:layout>
      <c:overlay val="0"/>
      <c:spPr>
        <a:noFill/>
        <a:ln w="208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96551724137931"/>
          <c:y val="0.34972677595628415"/>
          <c:w val="0.47241379310344828"/>
          <c:h val="0.34426229508196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Лист1!$A$106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0854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Лист1!$B$106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Лист1!$A$107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33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0854">
                <a:noFill/>
              </a:ln>
            </c:spPr>
            <c:txPr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Лист1!$B$107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96448"/>
        <c:axId val="65898368"/>
      </c:barChart>
      <c:catAx>
        <c:axId val="65896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0.32413793103448274"/>
              <c:y val="0.83606557377049184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89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898368"/>
        <c:scaling>
          <c:orientation val="minMax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896448"/>
        <c:crosses val="autoZero"/>
        <c:crossBetween val="between"/>
      </c:valAx>
      <c:spPr>
        <a:solidFill>
          <a:srgbClr val="FFFFCC"/>
        </a:solidFill>
        <a:ln w="10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27586206896548"/>
          <c:y val="0.33333333333333331"/>
          <c:w val="0.33793103448275863"/>
          <c:h val="0.36612021857923499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60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607">
      <a:solidFill>
        <a:srgbClr val="000000"/>
      </a:solidFill>
      <a:prstDash val="solid"/>
    </a:ln>
  </c:spPr>
  <c:txPr>
    <a:bodyPr/>
    <a:lstStyle/>
    <a:p>
      <a:pPr>
        <a:defRPr sz="6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5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владения навыками самоконтроля</a:t>
            </a:r>
          </a:p>
        </c:rich>
      </c:tx>
      <c:layout>
        <c:manualLayout>
          <c:xMode val="edge"/>
          <c:yMode val="edge"/>
          <c:x val="0.1864406779661017"/>
          <c:y val="2.0202020202020204E-2"/>
        </c:manualLayout>
      </c:layout>
      <c:overlay val="0"/>
      <c:spPr>
        <a:noFill/>
        <a:ln w="208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10169491525423"/>
          <c:y val="0.32828282828282829"/>
          <c:w val="0.45423728813559322"/>
          <c:h val="0.37878787878787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Лист1!$A$125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pPr>
                <a:noFill/>
                <a:ln w="20854">
                  <a:noFill/>
                </a:ln>
              </c:spPr>
              <c:txPr>
                <a:bodyPr/>
                <a:lstStyle/>
                <a:p>
                  <a:pPr>
                    <a:defRPr sz="6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Лист1!$B$125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Лист1!$A$126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33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0854">
                <a:noFill/>
              </a:ln>
            </c:spPr>
            <c:txPr>
              <a:bodyPr/>
              <a:lstStyle/>
              <a:p>
                <a:pPr>
                  <a:defRPr sz="6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Лист1!$B$126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32224"/>
        <c:axId val="58533760"/>
      </c:barChart>
      <c:catAx>
        <c:axId val="58532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0.31525423728813562"/>
              <c:y val="0.83838383838383834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533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533760"/>
        <c:scaling>
          <c:orientation val="minMax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532224"/>
        <c:crosses val="autoZero"/>
        <c:crossBetween val="between"/>
      </c:valAx>
      <c:spPr>
        <a:solidFill>
          <a:srgbClr val="FFFFCC"/>
        </a:solidFill>
        <a:ln w="10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23728813559323"/>
          <c:y val="0.34343434343434343"/>
          <c:w val="0.33220338983050846"/>
          <c:h val="0.3383838383838384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60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607">
      <a:solidFill>
        <a:srgbClr val="000000"/>
      </a:solidFill>
      <a:prstDash val="solid"/>
    </a:ln>
  </c:spPr>
  <c:txPr>
    <a:bodyPr/>
    <a:lstStyle/>
    <a:p>
      <a:pPr>
        <a:defRPr sz="6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показатель тревожности, 
связанный с процедурой ЕГЭ</a:t>
            </a:r>
          </a:p>
        </c:rich>
      </c:tx>
      <c:layout>
        <c:manualLayout>
          <c:xMode val="edge"/>
          <c:yMode val="edge"/>
          <c:x val="0.24169184290030213"/>
          <c:y val="2.7906976744186046E-2"/>
        </c:manualLayout>
      </c:layout>
      <c:overlay val="0"/>
      <c:spPr>
        <a:noFill/>
        <a:ln w="208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616314199395771"/>
          <c:y val="0.30697674418604654"/>
          <c:w val="0.52870090634441091"/>
          <c:h val="0.4325581395348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Лист1!$A$144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0854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Лист1!$B$144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Лист1!$A$145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33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0854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Лист1!$B$145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61248"/>
        <c:axId val="74696192"/>
      </c:barChart>
      <c:catAx>
        <c:axId val="74661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0.3595166163141994"/>
              <c:y val="0.86046511627906974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69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696192"/>
        <c:scaling>
          <c:orientation val="minMax"/>
        </c:scaling>
        <c:delete val="0"/>
        <c:axPos val="l"/>
        <c:majorGridlines>
          <c:spPr>
            <a:ln w="2607">
              <a:solidFill>
                <a:srgbClr val="FFFFCC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661248"/>
        <c:crosses val="autoZero"/>
        <c:crossBetween val="between"/>
      </c:valAx>
      <c:spPr>
        <a:solidFill>
          <a:srgbClr val="C0C0C0"/>
        </a:solidFill>
        <a:ln w="10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809667673716016"/>
          <c:y val="0.4"/>
          <c:w val="0.24169184290030213"/>
          <c:h val="0.35348837209302325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607">
      <a:solidFill>
        <a:srgbClr val="000000"/>
      </a:solidFill>
      <a:prstDash val="solid"/>
    </a:ln>
  </c:spPr>
  <c:txPr>
    <a:bodyPr/>
    <a:lstStyle/>
    <a:p>
      <a:pPr>
        <a:defRPr sz="6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8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тревожности</a:t>
            </a:r>
          </a:p>
        </c:rich>
      </c:tx>
      <c:layout>
        <c:manualLayout>
          <c:xMode val="edge"/>
          <c:yMode val="edge"/>
          <c:x val="0.28165374677002586"/>
          <c:y val="2.2222222222222223E-2"/>
        </c:manualLayout>
      </c:layout>
      <c:overlay val="0"/>
      <c:spPr>
        <a:noFill/>
        <a:ln w="208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21188630490956"/>
          <c:y val="0.23555555555555555"/>
          <c:w val="0.60723514211886309"/>
          <c:h val="0.50666666666666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9999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Лист1!$B$28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rgbClr val="9933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Лист1!$B$29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выраженная</c:v>
                </c:pt>
              </c:strCache>
            </c:strRef>
          </c:tx>
          <c:spPr>
            <a:solidFill>
              <a:srgbClr val="FFFFCC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Лист1!$A$31</c:f>
              <c:strCache>
                <c:ptCount val="1"/>
              </c:strCache>
            </c:strRef>
          </c:tx>
          <c:spPr>
            <a:solidFill>
              <a:srgbClr val="CCFFFF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Лист1!$B$31</c:f>
              <c:numCache>
                <c:formatCode>General</c:formatCode>
                <c:ptCount val="1"/>
              </c:numCache>
            </c:numRef>
          </c:val>
        </c:ser>
        <c:ser>
          <c:idx val="4"/>
          <c:order val="4"/>
          <c:tx>
            <c:strRef>
              <c:f>Лист1!$A$32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660066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Лист1!$A$33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rgbClr val="FF8080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Лист1!$A$34</c:f>
              <c:strCache>
                <c:ptCount val="1"/>
                <c:pt idx="0">
                  <c:v>выраженная</c:v>
                </c:pt>
              </c:strCache>
            </c:strRef>
          </c:tx>
          <c:spPr>
            <a:solidFill>
              <a:srgbClr val="0066CC"/>
            </a:solidFill>
            <a:ln w="10427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Лист1!$B$34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787456"/>
        <c:axId val="74801920"/>
      </c:barChart>
      <c:catAx>
        <c:axId val="74787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ситуативная                  личностная</a:t>
                </a:r>
              </a:p>
            </c:rich>
          </c:tx>
          <c:layout>
            <c:manualLayout>
              <c:xMode val="edge"/>
              <c:yMode val="edge"/>
              <c:x val="0.19638242894056848"/>
              <c:y val="0.85777777777777775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80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801920"/>
        <c:scaling>
          <c:orientation val="minMax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кол. выборов</a:t>
                </a:r>
              </a:p>
            </c:rich>
          </c:tx>
          <c:layout>
            <c:manualLayout>
              <c:xMode val="edge"/>
              <c:yMode val="edge"/>
              <c:x val="2.8423772609819122E-2"/>
              <c:y val="0.30666666666666664"/>
            </c:manualLayout>
          </c:layout>
          <c:overlay val="0"/>
          <c:spPr>
            <a:noFill/>
            <a:ln w="208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787456"/>
        <c:crosses val="autoZero"/>
        <c:crossBetween val="between"/>
      </c:valAx>
      <c:spPr>
        <a:solidFill>
          <a:srgbClr val="C0C0C0"/>
        </a:solidFill>
        <a:ln w="1042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519379844961245"/>
          <c:y val="0.27111111111111114"/>
          <c:w val="0.2144702842377261"/>
          <c:h val="0.5955555555555555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60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2607">
      <a:solidFill>
        <a:srgbClr val="000000"/>
      </a:solidFill>
      <a:prstDash val="solid"/>
    </a:ln>
  </c:spPr>
  <c:txPr>
    <a:bodyPr/>
    <a:lstStyle/>
    <a:p>
      <a:pPr>
        <a:defRPr sz="6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18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10</cp:revision>
  <cp:lastPrinted>2021-04-05T09:02:00Z</cp:lastPrinted>
  <dcterms:created xsi:type="dcterms:W3CDTF">2016-01-11T06:06:00Z</dcterms:created>
  <dcterms:modified xsi:type="dcterms:W3CDTF">2021-04-05T09:17:00Z</dcterms:modified>
</cp:coreProperties>
</file>